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rPr>
          <w:sz w:val="20"/>
          <w:lang w:val="cs-CZ"/>
        </w:rPr>
      </w:pPr>
    </w:p>
    <w:p w:rsidR="00F363D7" w:rsidRPr="007F7C70" w:rsidRDefault="00F363D7">
      <w:pPr>
        <w:pStyle w:val="Zkladntext"/>
        <w:spacing w:before="7"/>
        <w:rPr>
          <w:sz w:val="28"/>
          <w:lang w:val="cs-CZ"/>
        </w:rPr>
      </w:pPr>
    </w:p>
    <w:p w:rsidR="00F363D7" w:rsidRPr="007F7C70" w:rsidRDefault="00FD5698">
      <w:pPr>
        <w:spacing w:before="79"/>
        <w:ind w:left="144" w:right="196" w:hanging="3"/>
        <w:jc w:val="center"/>
        <w:rPr>
          <w:b/>
          <w:sz w:val="52"/>
          <w:lang w:val="cs-CZ"/>
        </w:rPr>
      </w:pPr>
      <w:r w:rsidRPr="007F7C70">
        <w:rPr>
          <w:b/>
          <w:sz w:val="52"/>
          <w:lang w:val="cs-CZ"/>
        </w:rPr>
        <w:t>PRAVIDLA PROVOZOVÁNÍ LOKÁLNÍ DISTRIBUČNÍ SOUSTAVY</w:t>
      </w:r>
    </w:p>
    <w:p w:rsidR="00F363D7" w:rsidRPr="007F7C70" w:rsidRDefault="00FD5698">
      <w:pPr>
        <w:spacing w:before="460"/>
        <w:ind w:left="2563" w:right="2619"/>
        <w:jc w:val="center"/>
        <w:rPr>
          <w:b/>
          <w:sz w:val="52"/>
          <w:lang w:val="cs-CZ"/>
        </w:rPr>
      </w:pPr>
      <w:r w:rsidRPr="007F7C70">
        <w:rPr>
          <w:b/>
          <w:sz w:val="52"/>
          <w:lang w:val="cs-CZ"/>
        </w:rPr>
        <w:t>Příloha 5 Fakturační měření</w:t>
      </w:r>
    </w:p>
    <w:p w:rsidR="00F363D7" w:rsidRPr="007F7C70" w:rsidRDefault="007F7C70">
      <w:pPr>
        <w:spacing w:before="458"/>
        <w:ind w:left="2563" w:right="2466"/>
        <w:jc w:val="center"/>
        <w:rPr>
          <w:b/>
          <w:sz w:val="44"/>
          <w:lang w:val="cs-CZ"/>
        </w:rPr>
      </w:pPr>
      <w:r w:rsidRPr="007F7C70">
        <w:rPr>
          <w:b/>
          <w:sz w:val="44"/>
          <w:lang w:val="cs-CZ"/>
        </w:rPr>
        <w:t>TAZO s.r.o.</w:t>
      </w:r>
    </w:p>
    <w:p w:rsidR="00F363D7" w:rsidRPr="007F7C70" w:rsidRDefault="00F363D7">
      <w:pPr>
        <w:pStyle w:val="Zkladntext"/>
        <w:rPr>
          <w:b/>
          <w:sz w:val="48"/>
          <w:lang w:val="cs-CZ"/>
        </w:rPr>
      </w:pPr>
    </w:p>
    <w:p w:rsidR="00F363D7" w:rsidRPr="007F7C70" w:rsidRDefault="00F363D7">
      <w:pPr>
        <w:pStyle w:val="Zkladntext"/>
        <w:rPr>
          <w:b/>
          <w:sz w:val="48"/>
          <w:lang w:val="cs-CZ"/>
        </w:rPr>
      </w:pPr>
    </w:p>
    <w:p w:rsidR="00F363D7" w:rsidRPr="007F7C70" w:rsidRDefault="00F363D7">
      <w:pPr>
        <w:pStyle w:val="Zkladntext"/>
        <w:rPr>
          <w:b/>
          <w:sz w:val="48"/>
          <w:lang w:val="cs-CZ"/>
        </w:rPr>
      </w:pPr>
    </w:p>
    <w:p w:rsidR="00F363D7" w:rsidRPr="007F7C70" w:rsidRDefault="00F363D7">
      <w:pPr>
        <w:pStyle w:val="Zkladntext"/>
        <w:rPr>
          <w:b/>
          <w:sz w:val="48"/>
          <w:lang w:val="cs-CZ"/>
        </w:rPr>
      </w:pPr>
    </w:p>
    <w:p w:rsidR="00F363D7" w:rsidRPr="007F7C70" w:rsidRDefault="00F363D7">
      <w:pPr>
        <w:pStyle w:val="Zkladntext"/>
        <w:spacing w:before="7"/>
        <w:rPr>
          <w:b/>
          <w:sz w:val="47"/>
          <w:lang w:val="cs-CZ"/>
        </w:rPr>
      </w:pPr>
    </w:p>
    <w:p w:rsidR="00F363D7" w:rsidRPr="007F7C70" w:rsidRDefault="00FD5698">
      <w:pPr>
        <w:pStyle w:val="Zkladntext"/>
        <w:ind w:left="115"/>
        <w:rPr>
          <w:lang w:val="cs-CZ"/>
        </w:rPr>
      </w:pPr>
      <w:r w:rsidRPr="007F7C70">
        <w:rPr>
          <w:lang w:val="cs-CZ"/>
        </w:rPr>
        <w:t>Schválil: ENERGETICKÝ REGULAČNÍ ÚŘAD</w:t>
      </w:r>
    </w:p>
    <w:p w:rsidR="00F363D7" w:rsidRPr="007F7C70" w:rsidRDefault="00F363D7">
      <w:pPr>
        <w:pStyle w:val="Zkladntext"/>
        <w:spacing w:before="1"/>
        <w:rPr>
          <w:sz w:val="21"/>
          <w:lang w:val="cs-CZ"/>
        </w:rPr>
      </w:pPr>
    </w:p>
    <w:p w:rsidR="00F363D7" w:rsidRPr="007F7C70" w:rsidRDefault="00FD5698">
      <w:pPr>
        <w:pStyle w:val="Zkladntext"/>
        <w:ind w:left="115"/>
        <w:rPr>
          <w:lang w:val="cs-CZ"/>
        </w:rPr>
      </w:pPr>
      <w:r w:rsidRPr="007F7C70">
        <w:rPr>
          <w:lang w:val="cs-CZ"/>
        </w:rPr>
        <w:t>Dne:</w:t>
      </w:r>
    </w:p>
    <w:p w:rsidR="00F363D7" w:rsidRPr="007F7C70" w:rsidRDefault="00F363D7">
      <w:pPr>
        <w:rPr>
          <w:lang w:val="cs-CZ"/>
        </w:rPr>
        <w:sectPr w:rsidR="00F363D7" w:rsidRPr="007F7C70">
          <w:type w:val="continuous"/>
          <w:pgSz w:w="11900" w:h="16840"/>
          <w:pgMar w:top="1600" w:right="1240" w:bottom="280" w:left="1300" w:header="708" w:footer="708" w:gutter="0"/>
          <w:cols w:space="708"/>
        </w:sectPr>
      </w:pPr>
    </w:p>
    <w:p w:rsidR="00F363D7" w:rsidRPr="007F7C70" w:rsidRDefault="00FD5698">
      <w:pPr>
        <w:spacing w:before="89"/>
        <w:ind w:left="115"/>
        <w:rPr>
          <w:rFonts w:ascii="Cambria"/>
          <w:b/>
          <w:sz w:val="28"/>
          <w:lang w:val="cs-CZ"/>
        </w:rPr>
      </w:pPr>
      <w:r w:rsidRPr="007F7C70">
        <w:rPr>
          <w:rFonts w:ascii="Cambria"/>
          <w:b/>
          <w:sz w:val="28"/>
          <w:lang w:val="cs-CZ"/>
        </w:rPr>
        <w:lastRenderedPageBreak/>
        <w:t>Obsah</w:t>
      </w:r>
    </w:p>
    <w:sdt>
      <w:sdtPr>
        <w:rPr>
          <w:lang w:val="cs-CZ"/>
        </w:rPr>
        <w:id w:val="-1553844869"/>
        <w:docPartObj>
          <w:docPartGallery w:val="Table of Contents"/>
          <w:docPartUnique/>
        </w:docPartObj>
      </w:sdtPr>
      <w:sdtEndPr/>
      <w:sdtContent>
        <w:p w:rsidR="00F363D7" w:rsidRPr="007F7C70" w:rsidRDefault="00FD5698">
          <w:pPr>
            <w:pStyle w:val="Obsah1"/>
            <w:numPr>
              <w:ilvl w:val="0"/>
              <w:numId w:val="4"/>
            </w:numPr>
            <w:tabs>
              <w:tab w:val="left" w:pos="1392"/>
              <w:tab w:val="left" w:pos="1393"/>
              <w:tab w:val="right" w:leader="dot" w:pos="9178"/>
            </w:tabs>
            <w:spacing w:before="285"/>
            <w:ind w:hanging="1276"/>
            <w:rPr>
              <w:lang w:val="cs-CZ"/>
            </w:rPr>
          </w:pPr>
          <w:hyperlink w:anchor="_TOC_250028" w:history="1">
            <w:r w:rsidRPr="007F7C70">
              <w:rPr>
                <w:lang w:val="cs-CZ"/>
              </w:rPr>
              <w:t>Všeobecné</w:t>
            </w:r>
            <w:r w:rsidRPr="007F7C70">
              <w:rPr>
                <w:spacing w:val="-1"/>
                <w:lang w:val="cs-CZ"/>
              </w:rPr>
              <w:t xml:space="preserve"> </w:t>
            </w:r>
            <w:r w:rsidRPr="007F7C70">
              <w:rPr>
                <w:lang w:val="cs-CZ"/>
              </w:rPr>
              <w:t>požadavky</w:t>
            </w:r>
            <w:r w:rsidRPr="007F7C70">
              <w:rPr>
                <w:lang w:val="cs-CZ"/>
              </w:rPr>
              <w:tab/>
              <w:t>3</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27" w:history="1">
            <w:r w:rsidRPr="007F7C70">
              <w:rPr>
                <w:lang w:val="cs-CZ"/>
              </w:rPr>
              <w:t>Úvod</w:t>
            </w:r>
            <w:r w:rsidRPr="007F7C70">
              <w:rPr>
                <w:lang w:val="cs-CZ"/>
              </w:rPr>
              <w:tab/>
              <w:t>3</w:t>
            </w:r>
          </w:hyperlink>
        </w:p>
        <w:p w:rsidR="00F363D7" w:rsidRPr="007F7C70" w:rsidRDefault="00FD5698">
          <w:pPr>
            <w:pStyle w:val="Obsah2"/>
            <w:numPr>
              <w:ilvl w:val="1"/>
              <w:numId w:val="4"/>
            </w:numPr>
            <w:tabs>
              <w:tab w:val="left" w:pos="1392"/>
              <w:tab w:val="left" w:pos="1393"/>
              <w:tab w:val="right" w:leader="dot" w:pos="9178"/>
            </w:tabs>
            <w:spacing w:before="100"/>
            <w:ind w:hanging="1036"/>
            <w:rPr>
              <w:lang w:val="cs-CZ"/>
            </w:rPr>
          </w:pPr>
          <w:hyperlink w:anchor="_TOC_250026" w:history="1">
            <w:r w:rsidRPr="007F7C70">
              <w:rPr>
                <w:lang w:val="cs-CZ"/>
              </w:rPr>
              <w:t>Měřicí místo, měřicí bod,</w:t>
            </w:r>
            <w:r w:rsidRPr="007F7C70">
              <w:rPr>
                <w:spacing w:val="-1"/>
                <w:lang w:val="cs-CZ"/>
              </w:rPr>
              <w:t xml:space="preserve"> </w:t>
            </w:r>
            <w:r w:rsidRPr="007F7C70">
              <w:rPr>
                <w:lang w:val="cs-CZ"/>
              </w:rPr>
              <w:t>měřicí zařízení</w:t>
            </w:r>
            <w:r w:rsidRPr="007F7C70">
              <w:rPr>
                <w:lang w:val="cs-CZ"/>
              </w:rPr>
              <w:tab/>
              <w:t>3</w:t>
            </w:r>
          </w:hyperlink>
        </w:p>
        <w:p w:rsidR="00F363D7" w:rsidRPr="007F7C70" w:rsidRDefault="00FD5698">
          <w:pPr>
            <w:pStyle w:val="Obsah2"/>
            <w:numPr>
              <w:ilvl w:val="1"/>
              <w:numId w:val="4"/>
            </w:numPr>
            <w:tabs>
              <w:tab w:val="left" w:pos="1392"/>
              <w:tab w:val="left" w:pos="1393"/>
              <w:tab w:val="right" w:leader="dot" w:pos="9178"/>
            </w:tabs>
            <w:spacing w:before="99"/>
            <w:ind w:hanging="1036"/>
            <w:rPr>
              <w:lang w:val="cs-CZ"/>
            </w:rPr>
          </w:pPr>
          <w:hyperlink w:anchor="_TOC_250025" w:history="1">
            <w:r w:rsidRPr="007F7C70">
              <w:rPr>
                <w:lang w:val="cs-CZ"/>
              </w:rPr>
              <w:t>Zvláštní požadavky na</w:t>
            </w:r>
            <w:r w:rsidRPr="007F7C70">
              <w:rPr>
                <w:spacing w:val="-5"/>
                <w:lang w:val="cs-CZ"/>
              </w:rPr>
              <w:t xml:space="preserve"> </w:t>
            </w:r>
            <w:r w:rsidRPr="007F7C70">
              <w:rPr>
                <w:lang w:val="cs-CZ"/>
              </w:rPr>
              <w:t>fakturační měření</w:t>
            </w:r>
            <w:r w:rsidRPr="007F7C70">
              <w:rPr>
                <w:lang w:val="cs-CZ"/>
              </w:rPr>
              <w:tab/>
              <w:t>3</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24" w:history="1">
            <w:r w:rsidRPr="007F7C70">
              <w:rPr>
                <w:lang w:val="cs-CZ"/>
              </w:rPr>
              <w:t>Vymezení povinností PLDS, výrobců</w:t>
            </w:r>
            <w:r w:rsidRPr="007F7C70">
              <w:rPr>
                <w:spacing w:val="-1"/>
                <w:lang w:val="cs-CZ"/>
              </w:rPr>
              <w:t xml:space="preserve"> </w:t>
            </w:r>
            <w:r w:rsidRPr="007F7C70">
              <w:rPr>
                <w:lang w:val="cs-CZ"/>
              </w:rPr>
              <w:t>a</w:t>
            </w:r>
            <w:r w:rsidRPr="007F7C70">
              <w:rPr>
                <w:spacing w:val="-1"/>
                <w:lang w:val="cs-CZ"/>
              </w:rPr>
              <w:t xml:space="preserve"> </w:t>
            </w:r>
            <w:r w:rsidRPr="007F7C70">
              <w:rPr>
                <w:lang w:val="cs-CZ"/>
              </w:rPr>
              <w:t>zákaz</w:t>
            </w:r>
            <w:r w:rsidRPr="007F7C70">
              <w:rPr>
                <w:lang w:val="cs-CZ"/>
              </w:rPr>
              <w:t>níků</w:t>
            </w:r>
            <w:r w:rsidRPr="007F7C70">
              <w:rPr>
                <w:lang w:val="cs-CZ"/>
              </w:rPr>
              <w:tab/>
              <w:t>4</w:t>
            </w:r>
          </w:hyperlink>
        </w:p>
        <w:p w:rsidR="00F363D7" w:rsidRPr="007F7C70" w:rsidRDefault="00FD5698">
          <w:pPr>
            <w:pStyle w:val="Obsah2"/>
            <w:numPr>
              <w:ilvl w:val="1"/>
              <w:numId w:val="4"/>
            </w:numPr>
            <w:tabs>
              <w:tab w:val="left" w:pos="1392"/>
              <w:tab w:val="left" w:pos="1393"/>
              <w:tab w:val="right" w:leader="dot" w:pos="9178"/>
            </w:tabs>
            <w:spacing w:before="100"/>
            <w:ind w:hanging="1036"/>
            <w:rPr>
              <w:lang w:val="cs-CZ"/>
            </w:rPr>
          </w:pPr>
          <w:hyperlink w:anchor="_TOC_250023" w:history="1">
            <w:r w:rsidRPr="007F7C70">
              <w:rPr>
                <w:lang w:val="cs-CZ"/>
              </w:rPr>
              <w:t>Měřicí a</w:t>
            </w:r>
            <w:r w:rsidRPr="007F7C70">
              <w:rPr>
                <w:spacing w:val="-2"/>
                <w:lang w:val="cs-CZ"/>
              </w:rPr>
              <w:t xml:space="preserve"> </w:t>
            </w:r>
            <w:r w:rsidRPr="007F7C70">
              <w:rPr>
                <w:lang w:val="cs-CZ"/>
              </w:rPr>
              <w:t>vyhodnocovací</w:t>
            </w:r>
            <w:r w:rsidRPr="007F7C70">
              <w:rPr>
                <w:spacing w:val="2"/>
                <w:lang w:val="cs-CZ"/>
              </w:rPr>
              <w:t xml:space="preserve"> </w:t>
            </w:r>
            <w:r w:rsidRPr="007F7C70">
              <w:rPr>
                <w:lang w:val="cs-CZ"/>
              </w:rPr>
              <w:t>interval</w:t>
            </w:r>
            <w:r w:rsidRPr="007F7C70">
              <w:rPr>
                <w:lang w:val="cs-CZ"/>
              </w:rPr>
              <w:tab/>
              <w:t>5</w:t>
            </w:r>
          </w:hyperlink>
        </w:p>
        <w:p w:rsidR="00F363D7" w:rsidRPr="007F7C70" w:rsidRDefault="00FD5698">
          <w:pPr>
            <w:pStyle w:val="Obsah2"/>
            <w:numPr>
              <w:ilvl w:val="1"/>
              <w:numId w:val="4"/>
            </w:numPr>
            <w:tabs>
              <w:tab w:val="left" w:pos="1392"/>
              <w:tab w:val="left" w:pos="1393"/>
              <w:tab w:val="right" w:leader="dot" w:pos="9178"/>
            </w:tabs>
            <w:spacing w:before="99"/>
            <w:ind w:hanging="1036"/>
            <w:rPr>
              <w:lang w:val="cs-CZ"/>
            </w:rPr>
          </w:pPr>
          <w:hyperlink w:anchor="_TOC_250022" w:history="1">
            <w:r w:rsidRPr="007F7C70">
              <w:rPr>
                <w:lang w:val="cs-CZ"/>
              </w:rPr>
              <w:t>Střední</w:t>
            </w:r>
            <w:r w:rsidRPr="007F7C70">
              <w:rPr>
                <w:spacing w:val="-1"/>
                <w:lang w:val="cs-CZ"/>
              </w:rPr>
              <w:t xml:space="preserve"> </w:t>
            </w:r>
            <w:r w:rsidRPr="007F7C70">
              <w:rPr>
                <w:lang w:val="cs-CZ"/>
              </w:rPr>
              <w:t>hodnota</w:t>
            </w:r>
            <w:r w:rsidRPr="007F7C70">
              <w:rPr>
                <w:spacing w:val="-1"/>
                <w:lang w:val="cs-CZ"/>
              </w:rPr>
              <w:t xml:space="preserve"> </w:t>
            </w:r>
            <w:r w:rsidRPr="007F7C70">
              <w:rPr>
                <w:lang w:val="cs-CZ"/>
              </w:rPr>
              <w:t>výkonu</w:t>
            </w:r>
            <w:r w:rsidRPr="007F7C70">
              <w:rPr>
                <w:lang w:val="cs-CZ"/>
              </w:rPr>
              <w:tab/>
              <w:t>5</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21" w:history="1">
            <w:r w:rsidRPr="007F7C70">
              <w:rPr>
                <w:lang w:val="cs-CZ"/>
              </w:rPr>
              <w:t>Jednofázové výrobny, připojené do LDS</w:t>
            </w:r>
            <w:r w:rsidRPr="007F7C70">
              <w:rPr>
                <w:spacing w:val="-2"/>
                <w:lang w:val="cs-CZ"/>
              </w:rPr>
              <w:t xml:space="preserve"> </w:t>
            </w:r>
            <w:r w:rsidRPr="007F7C70">
              <w:rPr>
                <w:lang w:val="cs-CZ"/>
              </w:rPr>
              <w:t>třífázovou přípojkou</w:t>
            </w:r>
            <w:r w:rsidRPr="007F7C70">
              <w:rPr>
                <w:lang w:val="cs-CZ"/>
              </w:rPr>
              <w:tab/>
              <w:t>5</w:t>
            </w:r>
          </w:hyperlink>
        </w:p>
        <w:p w:rsidR="00F363D7" w:rsidRPr="007F7C70" w:rsidRDefault="00FD5698">
          <w:pPr>
            <w:pStyle w:val="Obsah1"/>
            <w:numPr>
              <w:ilvl w:val="0"/>
              <w:numId w:val="4"/>
            </w:numPr>
            <w:tabs>
              <w:tab w:val="left" w:pos="1392"/>
              <w:tab w:val="left" w:pos="1393"/>
              <w:tab w:val="right" w:leader="dot" w:pos="9178"/>
            </w:tabs>
            <w:ind w:hanging="1276"/>
            <w:rPr>
              <w:lang w:val="cs-CZ"/>
            </w:rPr>
          </w:pPr>
          <w:hyperlink w:anchor="_TOC_250020" w:history="1">
            <w:r w:rsidRPr="007F7C70">
              <w:rPr>
                <w:lang w:val="cs-CZ"/>
              </w:rPr>
              <w:t>Technické</w:t>
            </w:r>
            <w:r w:rsidRPr="007F7C70">
              <w:rPr>
                <w:spacing w:val="-1"/>
                <w:lang w:val="cs-CZ"/>
              </w:rPr>
              <w:t xml:space="preserve"> </w:t>
            </w:r>
            <w:r w:rsidRPr="007F7C70">
              <w:rPr>
                <w:lang w:val="cs-CZ"/>
              </w:rPr>
              <w:t>požadavky</w:t>
            </w:r>
            <w:r w:rsidRPr="007F7C70">
              <w:rPr>
                <w:lang w:val="cs-CZ"/>
              </w:rPr>
              <w:tab/>
              <w:t>5</w:t>
            </w:r>
          </w:hyperlink>
        </w:p>
        <w:p w:rsidR="00F363D7" w:rsidRPr="007F7C70" w:rsidRDefault="00FD5698">
          <w:pPr>
            <w:pStyle w:val="Obsah2"/>
            <w:numPr>
              <w:ilvl w:val="1"/>
              <w:numId w:val="4"/>
            </w:numPr>
            <w:tabs>
              <w:tab w:val="left" w:pos="1392"/>
              <w:tab w:val="left" w:pos="1393"/>
              <w:tab w:val="right" w:leader="dot" w:pos="9178"/>
            </w:tabs>
            <w:spacing w:before="98"/>
            <w:ind w:hanging="1036"/>
            <w:rPr>
              <w:lang w:val="cs-CZ"/>
            </w:rPr>
          </w:pPr>
          <w:hyperlink w:anchor="_TOC_250019" w:history="1">
            <w:r w:rsidRPr="007F7C70">
              <w:rPr>
                <w:lang w:val="cs-CZ"/>
              </w:rPr>
              <w:t>Druhy</w:t>
            </w:r>
            <w:r w:rsidRPr="007F7C70">
              <w:rPr>
                <w:spacing w:val="-6"/>
                <w:lang w:val="cs-CZ"/>
              </w:rPr>
              <w:t xml:space="preserve"> </w:t>
            </w:r>
            <w:r w:rsidRPr="007F7C70">
              <w:rPr>
                <w:lang w:val="cs-CZ"/>
              </w:rPr>
              <w:t>měření</w:t>
            </w:r>
            <w:r w:rsidRPr="007F7C70">
              <w:rPr>
                <w:lang w:val="cs-CZ"/>
              </w:rPr>
              <w:tab/>
              <w:t>6</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18" w:history="1">
            <w:r w:rsidRPr="007F7C70">
              <w:rPr>
                <w:lang w:val="cs-CZ"/>
              </w:rPr>
              <w:t>Druhy</w:t>
            </w:r>
            <w:r w:rsidRPr="007F7C70">
              <w:rPr>
                <w:spacing w:val="-6"/>
                <w:lang w:val="cs-CZ"/>
              </w:rPr>
              <w:t xml:space="preserve"> </w:t>
            </w:r>
            <w:r w:rsidRPr="007F7C70">
              <w:rPr>
                <w:lang w:val="cs-CZ"/>
              </w:rPr>
              <w:t>měřicích zařízení</w:t>
            </w:r>
            <w:r w:rsidRPr="007F7C70">
              <w:rPr>
                <w:lang w:val="cs-CZ"/>
              </w:rPr>
              <w:tab/>
              <w:t>6</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17" w:history="1">
            <w:r w:rsidRPr="007F7C70">
              <w:rPr>
                <w:lang w:val="cs-CZ"/>
              </w:rPr>
              <w:t>Vybavení</w:t>
            </w:r>
            <w:r w:rsidRPr="007F7C70">
              <w:rPr>
                <w:spacing w:val="-1"/>
                <w:lang w:val="cs-CZ"/>
              </w:rPr>
              <w:t xml:space="preserve"> </w:t>
            </w:r>
            <w:r w:rsidRPr="007F7C70">
              <w:rPr>
                <w:lang w:val="cs-CZ"/>
              </w:rPr>
              <w:t>měřicích míst</w:t>
            </w:r>
            <w:r w:rsidRPr="007F7C70">
              <w:rPr>
                <w:lang w:val="cs-CZ"/>
              </w:rPr>
              <w:tab/>
              <w:t>7</w:t>
            </w:r>
          </w:hyperlink>
        </w:p>
        <w:p w:rsidR="00F363D7" w:rsidRPr="007F7C70" w:rsidRDefault="00FD5698">
          <w:pPr>
            <w:pStyle w:val="Obsah2"/>
            <w:numPr>
              <w:ilvl w:val="1"/>
              <w:numId w:val="4"/>
            </w:numPr>
            <w:tabs>
              <w:tab w:val="left" w:pos="1392"/>
              <w:tab w:val="left" w:pos="1393"/>
              <w:tab w:val="right" w:leader="dot" w:pos="9178"/>
            </w:tabs>
            <w:spacing w:before="98"/>
            <w:ind w:hanging="1036"/>
            <w:rPr>
              <w:lang w:val="cs-CZ"/>
            </w:rPr>
          </w:pPr>
          <w:hyperlink w:anchor="_TOC_250016" w:history="1">
            <w:r w:rsidRPr="007F7C70">
              <w:rPr>
                <w:lang w:val="cs-CZ"/>
              </w:rPr>
              <w:t>Třídy</w:t>
            </w:r>
            <w:r w:rsidRPr="007F7C70">
              <w:rPr>
                <w:spacing w:val="-5"/>
                <w:lang w:val="cs-CZ"/>
              </w:rPr>
              <w:t xml:space="preserve"> </w:t>
            </w:r>
            <w:r w:rsidRPr="007F7C70">
              <w:rPr>
                <w:lang w:val="cs-CZ"/>
              </w:rPr>
              <w:t>přesnosti</w:t>
            </w:r>
            <w:r w:rsidRPr="007F7C70">
              <w:rPr>
                <w:lang w:val="cs-CZ"/>
              </w:rPr>
              <w:tab/>
              <w:t>7</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15" w:history="1">
            <w:r w:rsidRPr="007F7C70">
              <w:rPr>
                <w:lang w:val="cs-CZ"/>
              </w:rPr>
              <w:t>Měřicí a</w:t>
            </w:r>
            <w:r w:rsidRPr="007F7C70">
              <w:rPr>
                <w:spacing w:val="-2"/>
                <w:lang w:val="cs-CZ"/>
              </w:rPr>
              <w:t xml:space="preserve"> </w:t>
            </w:r>
            <w:r w:rsidRPr="007F7C70">
              <w:rPr>
                <w:lang w:val="cs-CZ"/>
              </w:rPr>
              <w:t>tarifní funkce</w:t>
            </w:r>
            <w:r w:rsidRPr="007F7C70">
              <w:rPr>
                <w:lang w:val="cs-CZ"/>
              </w:rPr>
              <w:tab/>
              <w:t>7</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14" w:history="1">
            <w:r w:rsidRPr="007F7C70">
              <w:rPr>
                <w:lang w:val="cs-CZ"/>
              </w:rPr>
              <w:t>Ovládání tarifů a blokování spotřebičů</w:t>
            </w:r>
            <w:r w:rsidRPr="007F7C70">
              <w:rPr>
                <w:lang w:val="cs-CZ"/>
              </w:rPr>
              <w:tab/>
              <w:t>7</w:t>
            </w:r>
          </w:hyperlink>
        </w:p>
        <w:p w:rsidR="00F363D7" w:rsidRPr="007F7C70" w:rsidRDefault="00FD5698">
          <w:pPr>
            <w:pStyle w:val="Obsah2"/>
            <w:numPr>
              <w:ilvl w:val="1"/>
              <w:numId w:val="4"/>
            </w:numPr>
            <w:tabs>
              <w:tab w:val="left" w:pos="1392"/>
              <w:tab w:val="left" w:pos="1393"/>
              <w:tab w:val="right" w:leader="dot" w:pos="9178"/>
            </w:tabs>
            <w:spacing w:before="98"/>
            <w:ind w:hanging="1036"/>
            <w:rPr>
              <w:lang w:val="cs-CZ"/>
            </w:rPr>
          </w:pPr>
          <w:hyperlink w:anchor="_TOC_250013" w:history="1">
            <w:r w:rsidRPr="007F7C70">
              <w:rPr>
                <w:lang w:val="cs-CZ"/>
              </w:rPr>
              <w:t>Provozování</w:t>
            </w:r>
            <w:r w:rsidRPr="007F7C70">
              <w:rPr>
                <w:spacing w:val="-1"/>
                <w:lang w:val="cs-CZ"/>
              </w:rPr>
              <w:t xml:space="preserve"> </w:t>
            </w:r>
            <w:r w:rsidRPr="007F7C70">
              <w:rPr>
                <w:lang w:val="cs-CZ"/>
              </w:rPr>
              <w:t>měřicího zařízení</w:t>
            </w:r>
            <w:r w:rsidRPr="007F7C70">
              <w:rPr>
                <w:lang w:val="cs-CZ"/>
              </w:rPr>
              <w:tab/>
              <w:t>7</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12" w:history="1">
            <w:r w:rsidRPr="007F7C70">
              <w:rPr>
                <w:lang w:val="cs-CZ"/>
              </w:rPr>
              <w:t>Poskytnutí</w:t>
            </w:r>
            <w:r w:rsidRPr="007F7C70">
              <w:rPr>
                <w:spacing w:val="-1"/>
                <w:lang w:val="cs-CZ"/>
              </w:rPr>
              <w:t xml:space="preserve"> </w:t>
            </w:r>
            <w:r w:rsidRPr="007F7C70">
              <w:rPr>
                <w:lang w:val="cs-CZ"/>
              </w:rPr>
              <w:t>telekomunikačního p</w:t>
            </w:r>
            <w:r w:rsidRPr="007F7C70">
              <w:rPr>
                <w:lang w:val="cs-CZ"/>
              </w:rPr>
              <w:t>řipojení</w:t>
            </w:r>
            <w:r w:rsidRPr="007F7C70">
              <w:rPr>
                <w:lang w:val="cs-CZ"/>
              </w:rPr>
              <w:tab/>
              <w:t>7</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11" w:history="1">
            <w:r w:rsidRPr="007F7C70">
              <w:rPr>
                <w:lang w:val="cs-CZ"/>
              </w:rPr>
              <w:t>Kontrolní</w:t>
            </w:r>
            <w:r w:rsidRPr="007F7C70">
              <w:rPr>
                <w:spacing w:val="-1"/>
                <w:lang w:val="cs-CZ"/>
              </w:rPr>
              <w:t xml:space="preserve"> </w:t>
            </w:r>
            <w:r w:rsidRPr="007F7C70">
              <w:rPr>
                <w:lang w:val="cs-CZ"/>
              </w:rPr>
              <w:t>(porovnávací)</w:t>
            </w:r>
            <w:r w:rsidRPr="007F7C70">
              <w:rPr>
                <w:spacing w:val="1"/>
                <w:lang w:val="cs-CZ"/>
              </w:rPr>
              <w:t xml:space="preserve"> </w:t>
            </w:r>
            <w:r w:rsidRPr="007F7C70">
              <w:rPr>
                <w:lang w:val="cs-CZ"/>
              </w:rPr>
              <w:t>měření</w:t>
            </w:r>
            <w:r w:rsidRPr="007F7C70">
              <w:rPr>
                <w:lang w:val="cs-CZ"/>
              </w:rPr>
              <w:tab/>
              <w:t>8</w:t>
            </w:r>
          </w:hyperlink>
        </w:p>
        <w:p w:rsidR="00F363D7" w:rsidRPr="007F7C70" w:rsidRDefault="00FD5698">
          <w:pPr>
            <w:pStyle w:val="Obsah2"/>
            <w:numPr>
              <w:ilvl w:val="1"/>
              <w:numId w:val="4"/>
            </w:numPr>
            <w:tabs>
              <w:tab w:val="left" w:pos="1392"/>
              <w:tab w:val="left" w:pos="1393"/>
              <w:tab w:val="right" w:leader="dot" w:pos="9178"/>
            </w:tabs>
            <w:spacing w:before="98"/>
            <w:ind w:hanging="1036"/>
            <w:rPr>
              <w:lang w:val="cs-CZ"/>
            </w:rPr>
          </w:pPr>
          <w:hyperlink w:anchor="_TOC_250010" w:history="1">
            <w:r w:rsidRPr="007F7C70">
              <w:rPr>
                <w:lang w:val="cs-CZ"/>
              </w:rPr>
              <w:t>Využití informací z fakturačního měření</w:t>
            </w:r>
            <w:r w:rsidRPr="007F7C70">
              <w:rPr>
                <w:spacing w:val="-1"/>
                <w:lang w:val="cs-CZ"/>
              </w:rPr>
              <w:t xml:space="preserve"> </w:t>
            </w:r>
            <w:r w:rsidRPr="007F7C70">
              <w:rPr>
                <w:lang w:val="cs-CZ"/>
              </w:rPr>
              <w:t>PLDS zákazníkem</w:t>
            </w:r>
            <w:r w:rsidRPr="007F7C70">
              <w:rPr>
                <w:lang w:val="cs-CZ"/>
              </w:rPr>
              <w:tab/>
              <w:t>8</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09" w:history="1">
            <w:r w:rsidRPr="007F7C70">
              <w:rPr>
                <w:lang w:val="cs-CZ"/>
              </w:rPr>
              <w:t>Zabezpečení</w:t>
            </w:r>
            <w:r w:rsidRPr="007F7C70">
              <w:rPr>
                <w:spacing w:val="-1"/>
                <w:lang w:val="cs-CZ"/>
              </w:rPr>
              <w:t xml:space="preserve"> </w:t>
            </w:r>
            <w:r w:rsidRPr="007F7C70">
              <w:rPr>
                <w:lang w:val="cs-CZ"/>
              </w:rPr>
              <w:t>surových dat</w:t>
            </w:r>
            <w:r w:rsidRPr="007F7C70">
              <w:rPr>
                <w:lang w:val="cs-CZ"/>
              </w:rPr>
              <w:tab/>
              <w:t>8</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08" w:history="1">
            <w:r w:rsidRPr="007F7C70">
              <w:rPr>
                <w:lang w:val="cs-CZ"/>
              </w:rPr>
              <w:t>Předávání</w:t>
            </w:r>
            <w:r w:rsidRPr="007F7C70">
              <w:rPr>
                <w:spacing w:val="-1"/>
                <w:lang w:val="cs-CZ"/>
              </w:rPr>
              <w:t xml:space="preserve"> </w:t>
            </w:r>
            <w:r w:rsidRPr="007F7C70">
              <w:rPr>
                <w:lang w:val="cs-CZ"/>
              </w:rPr>
              <w:t>naměřených hodnot</w:t>
            </w:r>
            <w:r w:rsidRPr="007F7C70">
              <w:rPr>
                <w:lang w:val="cs-CZ"/>
              </w:rPr>
              <w:tab/>
              <w:t>8</w:t>
            </w:r>
          </w:hyperlink>
        </w:p>
        <w:p w:rsidR="00F363D7" w:rsidRPr="007F7C70" w:rsidRDefault="00FD5698">
          <w:pPr>
            <w:pStyle w:val="Obsah2"/>
            <w:numPr>
              <w:ilvl w:val="1"/>
              <w:numId w:val="4"/>
            </w:numPr>
            <w:tabs>
              <w:tab w:val="left" w:pos="1392"/>
              <w:tab w:val="left" w:pos="1393"/>
              <w:tab w:val="right" w:leader="dot" w:pos="9178"/>
            </w:tabs>
            <w:spacing w:before="98"/>
            <w:ind w:hanging="1036"/>
            <w:rPr>
              <w:lang w:val="cs-CZ"/>
            </w:rPr>
          </w:pPr>
          <w:r w:rsidRPr="007F7C70">
            <w:rPr>
              <w:lang w:val="cs-CZ"/>
            </w:rPr>
            <w:t>Úhrada nákladů za měřicí zařízení a poskytování</w:t>
          </w:r>
          <w:r w:rsidRPr="007F7C70">
            <w:rPr>
              <w:spacing w:val="-6"/>
              <w:lang w:val="cs-CZ"/>
            </w:rPr>
            <w:t xml:space="preserve"> </w:t>
          </w:r>
          <w:r w:rsidRPr="007F7C70">
            <w:rPr>
              <w:lang w:val="cs-CZ"/>
            </w:rPr>
            <w:t>(přenos)</w:t>
          </w:r>
          <w:r w:rsidRPr="007F7C70">
            <w:rPr>
              <w:spacing w:val="-2"/>
              <w:lang w:val="cs-CZ"/>
            </w:rPr>
            <w:t xml:space="preserve"> </w:t>
          </w:r>
          <w:r w:rsidRPr="007F7C70">
            <w:rPr>
              <w:lang w:val="cs-CZ"/>
            </w:rPr>
            <w:t>dat</w:t>
          </w:r>
          <w:r w:rsidRPr="007F7C70">
            <w:rPr>
              <w:lang w:val="cs-CZ"/>
            </w:rPr>
            <w:tab/>
            <w:t>9</w:t>
          </w:r>
        </w:p>
        <w:p w:rsidR="00F363D7" w:rsidRPr="007F7C70" w:rsidRDefault="00FD5698">
          <w:pPr>
            <w:pStyle w:val="Obsah1"/>
            <w:numPr>
              <w:ilvl w:val="0"/>
              <w:numId w:val="4"/>
            </w:numPr>
            <w:tabs>
              <w:tab w:val="left" w:pos="1392"/>
              <w:tab w:val="left" w:pos="1393"/>
              <w:tab w:val="right" w:leader="dot" w:pos="9178"/>
            </w:tabs>
            <w:ind w:hanging="1276"/>
            <w:rPr>
              <w:lang w:val="cs-CZ"/>
            </w:rPr>
          </w:pPr>
          <w:hyperlink w:anchor="_TOC_250007" w:history="1">
            <w:r w:rsidRPr="007F7C70">
              <w:rPr>
                <w:lang w:val="cs-CZ"/>
              </w:rPr>
              <w:t>Údržba a odečty</w:t>
            </w:r>
            <w:r w:rsidRPr="007F7C70">
              <w:rPr>
                <w:spacing w:val="-7"/>
                <w:lang w:val="cs-CZ"/>
              </w:rPr>
              <w:t xml:space="preserve"> </w:t>
            </w:r>
            <w:r w:rsidRPr="007F7C70">
              <w:rPr>
                <w:lang w:val="cs-CZ"/>
              </w:rPr>
              <w:t>měřicího zařízení</w:t>
            </w:r>
            <w:r w:rsidRPr="007F7C70">
              <w:rPr>
                <w:lang w:val="cs-CZ"/>
              </w:rPr>
              <w:tab/>
              <w:t>9</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06" w:history="1">
            <w:r w:rsidRPr="007F7C70">
              <w:rPr>
                <w:lang w:val="cs-CZ"/>
              </w:rPr>
              <w:t>Úvod</w:t>
            </w:r>
            <w:r w:rsidRPr="007F7C70">
              <w:rPr>
                <w:lang w:val="cs-CZ"/>
              </w:rPr>
              <w:tab/>
              <w:t>9</w:t>
            </w:r>
          </w:hyperlink>
        </w:p>
        <w:p w:rsidR="00F363D7" w:rsidRPr="007F7C70" w:rsidRDefault="00FD5698">
          <w:pPr>
            <w:pStyle w:val="Obsah2"/>
            <w:numPr>
              <w:ilvl w:val="1"/>
              <w:numId w:val="4"/>
            </w:numPr>
            <w:tabs>
              <w:tab w:val="left" w:pos="1392"/>
              <w:tab w:val="left" w:pos="1393"/>
              <w:tab w:val="right" w:leader="dot" w:pos="9178"/>
            </w:tabs>
            <w:spacing w:before="98"/>
            <w:ind w:hanging="1036"/>
            <w:rPr>
              <w:lang w:val="cs-CZ"/>
            </w:rPr>
          </w:pPr>
          <w:hyperlink w:anchor="_TOC_250005" w:history="1">
            <w:r w:rsidRPr="007F7C70">
              <w:rPr>
                <w:lang w:val="cs-CZ"/>
              </w:rPr>
              <w:t>Údržba</w:t>
            </w:r>
            <w:r w:rsidRPr="007F7C70">
              <w:rPr>
                <w:spacing w:val="-2"/>
                <w:lang w:val="cs-CZ"/>
              </w:rPr>
              <w:t xml:space="preserve"> </w:t>
            </w:r>
            <w:r w:rsidRPr="007F7C70">
              <w:rPr>
                <w:lang w:val="cs-CZ"/>
              </w:rPr>
              <w:t>měřicího zařízení</w:t>
            </w:r>
            <w:r w:rsidRPr="007F7C70">
              <w:rPr>
                <w:lang w:val="cs-CZ"/>
              </w:rPr>
              <w:tab/>
              <w:t>9</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04" w:history="1">
            <w:r w:rsidRPr="007F7C70">
              <w:rPr>
                <w:lang w:val="cs-CZ"/>
              </w:rPr>
              <w:t>Ověřování</w:t>
            </w:r>
            <w:r w:rsidRPr="007F7C70">
              <w:rPr>
                <w:spacing w:val="-1"/>
                <w:lang w:val="cs-CZ"/>
              </w:rPr>
              <w:t xml:space="preserve"> </w:t>
            </w:r>
            <w:r w:rsidRPr="007F7C70">
              <w:rPr>
                <w:lang w:val="cs-CZ"/>
              </w:rPr>
              <w:t>měřicího zařízení</w:t>
            </w:r>
            <w:r w:rsidRPr="007F7C70">
              <w:rPr>
                <w:lang w:val="cs-CZ"/>
              </w:rPr>
              <w:tab/>
              <w:t>9</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03" w:history="1">
            <w:r w:rsidRPr="007F7C70">
              <w:rPr>
                <w:lang w:val="cs-CZ"/>
              </w:rPr>
              <w:t>Změna typu a parametrů</w:t>
            </w:r>
            <w:r w:rsidRPr="007F7C70">
              <w:rPr>
                <w:spacing w:val="1"/>
                <w:lang w:val="cs-CZ"/>
              </w:rPr>
              <w:t xml:space="preserve"> </w:t>
            </w:r>
            <w:r w:rsidRPr="007F7C70">
              <w:rPr>
                <w:lang w:val="cs-CZ"/>
              </w:rPr>
              <w:t>měřicího</w:t>
            </w:r>
            <w:r w:rsidRPr="007F7C70">
              <w:rPr>
                <w:spacing w:val="-1"/>
                <w:lang w:val="cs-CZ"/>
              </w:rPr>
              <w:t xml:space="preserve"> </w:t>
            </w:r>
            <w:r w:rsidRPr="007F7C70">
              <w:rPr>
                <w:lang w:val="cs-CZ"/>
              </w:rPr>
              <w:t>zařízení</w:t>
            </w:r>
            <w:r w:rsidRPr="007F7C70">
              <w:rPr>
                <w:lang w:val="cs-CZ"/>
              </w:rPr>
              <w:tab/>
              <w:t>10</w:t>
            </w:r>
          </w:hyperlink>
        </w:p>
        <w:p w:rsidR="00F363D7" w:rsidRPr="007F7C70" w:rsidRDefault="00FD5698">
          <w:pPr>
            <w:pStyle w:val="Obsah2"/>
            <w:numPr>
              <w:ilvl w:val="1"/>
              <w:numId w:val="4"/>
            </w:numPr>
            <w:tabs>
              <w:tab w:val="left" w:pos="1392"/>
              <w:tab w:val="left" w:pos="1393"/>
              <w:tab w:val="right" w:leader="dot" w:pos="9178"/>
            </w:tabs>
            <w:spacing w:before="98"/>
            <w:ind w:hanging="1036"/>
            <w:rPr>
              <w:lang w:val="cs-CZ"/>
            </w:rPr>
          </w:pPr>
          <w:hyperlink w:anchor="_TOC_250002" w:history="1">
            <w:r w:rsidRPr="007F7C70">
              <w:rPr>
                <w:lang w:val="cs-CZ"/>
              </w:rPr>
              <w:t>Odečty</w:t>
            </w:r>
            <w:r w:rsidRPr="007F7C70">
              <w:rPr>
                <w:spacing w:val="-6"/>
                <w:lang w:val="cs-CZ"/>
              </w:rPr>
              <w:t xml:space="preserve"> </w:t>
            </w:r>
            <w:r w:rsidRPr="007F7C70">
              <w:rPr>
                <w:lang w:val="cs-CZ"/>
              </w:rPr>
              <w:t>měřicího zařízení</w:t>
            </w:r>
            <w:r w:rsidRPr="007F7C70">
              <w:rPr>
                <w:lang w:val="cs-CZ"/>
              </w:rPr>
              <w:tab/>
              <w:t>10</w:t>
            </w:r>
          </w:hyperlink>
        </w:p>
        <w:p w:rsidR="00F363D7" w:rsidRPr="007F7C70" w:rsidRDefault="00FD5698">
          <w:pPr>
            <w:pStyle w:val="Obsah2"/>
            <w:numPr>
              <w:ilvl w:val="1"/>
              <w:numId w:val="4"/>
            </w:numPr>
            <w:tabs>
              <w:tab w:val="left" w:pos="1392"/>
              <w:tab w:val="left" w:pos="1393"/>
              <w:tab w:val="right" w:leader="dot" w:pos="9178"/>
            </w:tabs>
            <w:ind w:hanging="1036"/>
            <w:rPr>
              <w:lang w:val="cs-CZ"/>
            </w:rPr>
          </w:pPr>
          <w:hyperlink w:anchor="_TOC_250001" w:history="1">
            <w:r w:rsidRPr="007F7C70">
              <w:rPr>
                <w:lang w:val="cs-CZ"/>
              </w:rPr>
              <w:t>P</w:t>
            </w:r>
            <w:r w:rsidRPr="007F7C70">
              <w:rPr>
                <w:lang w:val="cs-CZ"/>
              </w:rPr>
              <w:t>řezkoušení měřicího zařízení na žádost</w:t>
            </w:r>
            <w:r w:rsidRPr="007F7C70">
              <w:rPr>
                <w:spacing w:val="-3"/>
                <w:lang w:val="cs-CZ"/>
              </w:rPr>
              <w:t xml:space="preserve"> </w:t>
            </w:r>
            <w:r w:rsidRPr="007F7C70">
              <w:rPr>
                <w:lang w:val="cs-CZ"/>
              </w:rPr>
              <w:t>uživatele</w:t>
            </w:r>
            <w:r w:rsidRPr="007F7C70">
              <w:rPr>
                <w:spacing w:val="-2"/>
                <w:lang w:val="cs-CZ"/>
              </w:rPr>
              <w:t xml:space="preserve"> </w:t>
            </w:r>
            <w:r w:rsidRPr="007F7C70">
              <w:rPr>
                <w:lang w:val="cs-CZ"/>
              </w:rPr>
              <w:t>LDS</w:t>
            </w:r>
            <w:r w:rsidRPr="007F7C70">
              <w:rPr>
                <w:lang w:val="cs-CZ"/>
              </w:rPr>
              <w:tab/>
              <w:t>10</w:t>
            </w:r>
          </w:hyperlink>
        </w:p>
        <w:p w:rsidR="00F363D7" w:rsidRPr="007F7C70" w:rsidRDefault="00FD5698">
          <w:pPr>
            <w:pStyle w:val="Obsah1"/>
            <w:numPr>
              <w:ilvl w:val="0"/>
              <w:numId w:val="4"/>
            </w:numPr>
            <w:tabs>
              <w:tab w:val="left" w:pos="1392"/>
              <w:tab w:val="left" w:pos="1393"/>
              <w:tab w:val="right" w:leader="dot" w:pos="9178"/>
            </w:tabs>
            <w:ind w:hanging="1276"/>
            <w:rPr>
              <w:lang w:val="cs-CZ"/>
            </w:rPr>
          </w:pPr>
          <w:hyperlink w:anchor="_TOC_250000" w:history="1">
            <w:r w:rsidRPr="007F7C70">
              <w:rPr>
                <w:lang w:val="cs-CZ"/>
              </w:rPr>
              <w:t>Literatura a právní předpisy v</w:t>
            </w:r>
            <w:r w:rsidRPr="007F7C70">
              <w:rPr>
                <w:spacing w:val="-6"/>
                <w:lang w:val="cs-CZ"/>
              </w:rPr>
              <w:t xml:space="preserve"> </w:t>
            </w:r>
            <w:r w:rsidRPr="007F7C70">
              <w:rPr>
                <w:lang w:val="cs-CZ"/>
              </w:rPr>
              <w:t>platném znění</w:t>
            </w:r>
            <w:r w:rsidRPr="007F7C70">
              <w:rPr>
                <w:lang w:val="cs-CZ"/>
              </w:rPr>
              <w:tab/>
              <w:t>11</w:t>
            </w:r>
          </w:hyperlink>
        </w:p>
      </w:sdtContent>
    </w:sdt>
    <w:p w:rsidR="00F363D7" w:rsidRPr="007F7C70" w:rsidRDefault="00F363D7">
      <w:pPr>
        <w:rPr>
          <w:lang w:val="cs-CZ"/>
        </w:rPr>
        <w:sectPr w:rsidR="00F363D7" w:rsidRPr="007F7C70">
          <w:pgSz w:w="11900" w:h="16840"/>
          <w:pgMar w:top="1320" w:right="1240" w:bottom="280" w:left="1300" w:header="708" w:footer="708" w:gutter="0"/>
          <w:cols w:space="708"/>
        </w:sectPr>
      </w:pPr>
    </w:p>
    <w:p w:rsidR="00F363D7" w:rsidRPr="007F7C70" w:rsidRDefault="00FD5698">
      <w:pPr>
        <w:pStyle w:val="Nadpis1"/>
        <w:numPr>
          <w:ilvl w:val="0"/>
          <w:numId w:val="3"/>
        </w:numPr>
        <w:tabs>
          <w:tab w:val="left" w:pos="547"/>
          <w:tab w:val="left" w:pos="548"/>
        </w:tabs>
        <w:spacing w:before="69"/>
        <w:rPr>
          <w:lang w:val="cs-CZ"/>
        </w:rPr>
      </w:pPr>
      <w:bookmarkStart w:id="0" w:name="_TOC_250028"/>
      <w:r w:rsidRPr="007F7C70">
        <w:rPr>
          <w:lang w:val="cs-CZ"/>
        </w:rPr>
        <w:lastRenderedPageBreak/>
        <w:t>Všeobecné</w:t>
      </w:r>
      <w:r w:rsidRPr="007F7C70">
        <w:rPr>
          <w:spacing w:val="-2"/>
          <w:lang w:val="cs-CZ"/>
        </w:rPr>
        <w:t xml:space="preserve"> </w:t>
      </w:r>
      <w:bookmarkEnd w:id="0"/>
      <w:r w:rsidRPr="007F7C70">
        <w:rPr>
          <w:lang w:val="cs-CZ"/>
        </w:rPr>
        <w:t>požadavky</w:t>
      </w:r>
    </w:p>
    <w:p w:rsidR="00F363D7" w:rsidRPr="007F7C70" w:rsidRDefault="00F363D7">
      <w:pPr>
        <w:pStyle w:val="Zkladntext"/>
        <w:spacing w:before="8"/>
        <w:rPr>
          <w:b/>
          <w:sz w:val="30"/>
          <w:lang w:val="cs-CZ"/>
        </w:rPr>
      </w:pPr>
    </w:p>
    <w:p w:rsidR="00F363D7" w:rsidRPr="007F7C70" w:rsidRDefault="00FD5698">
      <w:pPr>
        <w:pStyle w:val="Nadpis2"/>
        <w:numPr>
          <w:ilvl w:val="1"/>
          <w:numId w:val="3"/>
        </w:numPr>
        <w:tabs>
          <w:tab w:val="left" w:pos="691"/>
          <w:tab w:val="left" w:pos="692"/>
        </w:tabs>
        <w:rPr>
          <w:lang w:val="cs-CZ"/>
        </w:rPr>
      </w:pPr>
      <w:bookmarkStart w:id="1" w:name="_TOC_250027"/>
      <w:bookmarkEnd w:id="1"/>
      <w:r w:rsidRPr="007F7C70">
        <w:rPr>
          <w:lang w:val="cs-CZ"/>
        </w:rPr>
        <w:t>Úvod</w:t>
      </w:r>
    </w:p>
    <w:p w:rsidR="00F363D7" w:rsidRPr="007F7C70" w:rsidRDefault="00F363D7">
      <w:pPr>
        <w:pStyle w:val="Zkladntext"/>
        <w:spacing w:before="3"/>
        <w:rPr>
          <w:b/>
          <w:sz w:val="33"/>
          <w:lang w:val="cs-CZ"/>
        </w:rPr>
      </w:pPr>
    </w:p>
    <w:p w:rsidR="00F363D7" w:rsidRPr="007F7C70" w:rsidRDefault="00FD5698">
      <w:pPr>
        <w:pStyle w:val="Zkladntext"/>
        <w:ind w:left="547" w:right="164"/>
        <w:jc w:val="both"/>
        <w:rPr>
          <w:lang w:val="cs-CZ"/>
        </w:rPr>
      </w:pPr>
      <w:r w:rsidRPr="007F7C70">
        <w:rPr>
          <w:spacing w:val="-3"/>
          <w:lang w:val="cs-CZ"/>
        </w:rPr>
        <w:t xml:space="preserve">Úkolem </w:t>
      </w:r>
      <w:r w:rsidRPr="007F7C70">
        <w:rPr>
          <w:spacing w:val="-4"/>
          <w:lang w:val="cs-CZ"/>
        </w:rPr>
        <w:t xml:space="preserve">fakturačního měření </w:t>
      </w:r>
      <w:r w:rsidRPr="007F7C70">
        <w:rPr>
          <w:lang w:val="cs-CZ"/>
        </w:rPr>
        <w:t xml:space="preserve">je </w:t>
      </w:r>
      <w:r w:rsidRPr="007F7C70">
        <w:rPr>
          <w:spacing w:val="-4"/>
          <w:lang w:val="cs-CZ"/>
        </w:rPr>
        <w:t xml:space="preserve">korektním </w:t>
      </w:r>
      <w:r w:rsidRPr="007F7C70">
        <w:rPr>
          <w:spacing w:val="-3"/>
          <w:lang w:val="cs-CZ"/>
        </w:rPr>
        <w:t xml:space="preserve">způsobem </w:t>
      </w:r>
      <w:r w:rsidRPr="007F7C70">
        <w:rPr>
          <w:spacing w:val="-4"/>
          <w:lang w:val="cs-CZ"/>
        </w:rPr>
        <w:t xml:space="preserve">získávat </w:t>
      </w:r>
      <w:r w:rsidRPr="007F7C70">
        <w:rPr>
          <w:spacing w:val="-3"/>
          <w:lang w:val="cs-CZ"/>
        </w:rPr>
        <w:t xml:space="preserve">data </w:t>
      </w:r>
      <w:r w:rsidRPr="007F7C70">
        <w:rPr>
          <w:lang w:val="cs-CZ"/>
        </w:rPr>
        <w:t xml:space="preserve">o </w:t>
      </w:r>
      <w:r w:rsidRPr="007F7C70">
        <w:rPr>
          <w:spacing w:val="-4"/>
          <w:lang w:val="cs-CZ"/>
        </w:rPr>
        <w:t xml:space="preserve">odebírané </w:t>
      </w:r>
      <w:r w:rsidRPr="007F7C70">
        <w:rPr>
          <w:lang w:val="cs-CZ"/>
        </w:rPr>
        <w:t xml:space="preserve">a </w:t>
      </w:r>
      <w:r w:rsidRPr="007F7C70">
        <w:rPr>
          <w:spacing w:val="-3"/>
          <w:lang w:val="cs-CZ"/>
        </w:rPr>
        <w:t xml:space="preserve">dodávané elektřině </w:t>
      </w:r>
      <w:r w:rsidRPr="007F7C70">
        <w:rPr>
          <w:lang w:val="cs-CZ"/>
        </w:rPr>
        <w:t xml:space="preserve">a </w:t>
      </w:r>
      <w:r w:rsidRPr="007F7C70">
        <w:rPr>
          <w:spacing w:val="-3"/>
          <w:lang w:val="cs-CZ"/>
        </w:rPr>
        <w:t xml:space="preserve">takto </w:t>
      </w:r>
      <w:r w:rsidRPr="007F7C70">
        <w:rPr>
          <w:spacing w:val="-4"/>
          <w:lang w:val="cs-CZ"/>
        </w:rPr>
        <w:t>pořízená</w:t>
      </w:r>
      <w:r w:rsidRPr="007F7C70">
        <w:rPr>
          <w:spacing w:val="52"/>
          <w:lang w:val="cs-CZ"/>
        </w:rPr>
        <w:t xml:space="preserve"> </w:t>
      </w:r>
      <w:r w:rsidRPr="007F7C70">
        <w:rPr>
          <w:spacing w:val="-3"/>
          <w:lang w:val="cs-CZ"/>
        </w:rPr>
        <w:t xml:space="preserve">data dále </w:t>
      </w:r>
      <w:r w:rsidRPr="007F7C70">
        <w:rPr>
          <w:spacing w:val="-4"/>
          <w:lang w:val="cs-CZ"/>
        </w:rPr>
        <w:t>poskytovat</w:t>
      </w:r>
      <w:r w:rsidRPr="007F7C70">
        <w:rPr>
          <w:spacing w:val="52"/>
          <w:lang w:val="cs-CZ"/>
        </w:rPr>
        <w:t xml:space="preserve"> </w:t>
      </w:r>
      <w:r w:rsidRPr="007F7C70">
        <w:rPr>
          <w:spacing w:val="-4"/>
          <w:lang w:val="cs-CZ"/>
        </w:rPr>
        <w:t>oprávněným</w:t>
      </w:r>
      <w:r w:rsidRPr="007F7C70">
        <w:rPr>
          <w:spacing w:val="52"/>
          <w:lang w:val="cs-CZ"/>
        </w:rPr>
        <w:t xml:space="preserve"> </w:t>
      </w:r>
      <w:r w:rsidRPr="007F7C70">
        <w:rPr>
          <w:spacing w:val="-4"/>
          <w:lang w:val="cs-CZ"/>
        </w:rPr>
        <w:t>účastníkům</w:t>
      </w:r>
      <w:r w:rsidRPr="007F7C70">
        <w:rPr>
          <w:spacing w:val="52"/>
          <w:lang w:val="cs-CZ"/>
        </w:rPr>
        <w:t xml:space="preserve"> </w:t>
      </w:r>
      <w:r w:rsidRPr="007F7C70">
        <w:rPr>
          <w:spacing w:val="-3"/>
          <w:lang w:val="cs-CZ"/>
        </w:rPr>
        <w:t xml:space="preserve">trhu, </w:t>
      </w:r>
      <w:r w:rsidRPr="007F7C70">
        <w:rPr>
          <w:lang w:val="cs-CZ"/>
        </w:rPr>
        <w:t xml:space="preserve">a </w:t>
      </w:r>
      <w:r w:rsidRPr="007F7C70">
        <w:rPr>
          <w:spacing w:val="-3"/>
          <w:lang w:val="cs-CZ"/>
        </w:rPr>
        <w:t xml:space="preserve">to </w:t>
      </w:r>
      <w:r w:rsidRPr="007F7C70">
        <w:rPr>
          <w:spacing w:val="-4"/>
          <w:lang w:val="cs-CZ"/>
        </w:rPr>
        <w:t xml:space="preserve">nediskriminačně </w:t>
      </w:r>
      <w:r w:rsidRPr="007F7C70">
        <w:rPr>
          <w:lang w:val="cs-CZ"/>
        </w:rPr>
        <w:t xml:space="preserve">a s </w:t>
      </w:r>
      <w:r w:rsidRPr="007F7C70">
        <w:rPr>
          <w:spacing w:val="-3"/>
          <w:lang w:val="cs-CZ"/>
        </w:rPr>
        <w:t xml:space="preserve">náležitou </w:t>
      </w:r>
      <w:r w:rsidRPr="007F7C70">
        <w:rPr>
          <w:spacing w:val="-4"/>
          <w:lang w:val="cs-CZ"/>
        </w:rPr>
        <w:t xml:space="preserve">důvěrností. </w:t>
      </w:r>
      <w:r w:rsidRPr="007F7C70">
        <w:rPr>
          <w:spacing w:val="-3"/>
          <w:lang w:val="cs-CZ"/>
        </w:rPr>
        <w:t xml:space="preserve">Hlavní úlohou </w:t>
      </w:r>
      <w:r w:rsidRPr="007F7C70">
        <w:rPr>
          <w:spacing w:val="-4"/>
          <w:lang w:val="cs-CZ"/>
        </w:rPr>
        <w:t xml:space="preserve">fakturačního měření </w:t>
      </w:r>
      <w:r w:rsidRPr="007F7C70">
        <w:rPr>
          <w:spacing w:val="-3"/>
          <w:lang w:val="cs-CZ"/>
        </w:rPr>
        <w:t xml:space="preserve">zůstává </w:t>
      </w:r>
      <w:r w:rsidRPr="007F7C70">
        <w:rPr>
          <w:lang w:val="cs-CZ"/>
        </w:rPr>
        <w:t xml:space="preserve">i </w:t>
      </w:r>
      <w:r w:rsidRPr="007F7C70">
        <w:rPr>
          <w:spacing w:val="-3"/>
          <w:lang w:val="cs-CZ"/>
        </w:rPr>
        <w:t xml:space="preserve">nadále fakt, </w:t>
      </w:r>
      <w:r w:rsidRPr="007F7C70">
        <w:rPr>
          <w:lang w:val="cs-CZ"/>
        </w:rPr>
        <w:t xml:space="preserve">že </w:t>
      </w:r>
      <w:r w:rsidRPr="007F7C70">
        <w:rPr>
          <w:spacing w:val="-4"/>
          <w:lang w:val="cs-CZ"/>
        </w:rPr>
        <w:t xml:space="preserve">naměřená </w:t>
      </w:r>
      <w:r w:rsidRPr="007F7C70">
        <w:rPr>
          <w:spacing w:val="-3"/>
          <w:lang w:val="cs-CZ"/>
        </w:rPr>
        <w:t xml:space="preserve">data tvoří </w:t>
      </w:r>
      <w:r w:rsidRPr="007F7C70">
        <w:rPr>
          <w:spacing w:val="-4"/>
          <w:lang w:val="cs-CZ"/>
        </w:rPr>
        <w:t xml:space="preserve">obvyklý </w:t>
      </w:r>
      <w:r w:rsidRPr="007F7C70">
        <w:rPr>
          <w:lang w:val="cs-CZ"/>
        </w:rPr>
        <w:t xml:space="preserve">výstup </w:t>
      </w:r>
      <w:r w:rsidRPr="007F7C70">
        <w:rPr>
          <w:spacing w:val="-3"/>
          <w:lang w:val="cs-CZ"/>
        </w:rPr>
        <w:t xml:space="preserve">pro </w:t>
      </w:r>
      <w:r w:rsidRPr="007F7C70">
        <w:rPr>
          <w:spacing w:val="-4"/>
          <w:lang w:val="cs-CZ"/>
        </w:rPr>
        <w:t>většinu použí</w:t>
      </w:r>
      <w:r w:rsidRPr="007F7C70">
        <w:rPr>
          <w:spacing w:val="-4"/>
          <w:lang w:val="cs-CZ"/>
        </w:rPr>
        <w:t xml:space="preserve">vaných </w:t>
      </w:r>
      <w:r w:rsidRPr="007F7C70">
        <w:rPr>
          <w:spacing w:val="-3"/>
          <w:lang w:val="cs-CZ"/>
        </w:rPr>
        <w:t xml:space="preserve">způsobů účtování </w:t>
      </w:r>
      <w:r w:rsidRPr="007F7C70">
        <w:rPr>
          <w:lang w:val="cs-CZ"/>
        </w:rPr>
        <w:t xml:space="preserve">na </w:t>
      </w:r>
      <w:r w:rsidRPr="007F7C70">
        <w:rPr>
          <w:spacing w:val="-3"/>
          <w:lang w:val="cs-CZ"/>
        </w:rPr>
        <w:t xml:space="preserve">trhu </w:t>
      </w:r>
      <w:r w:rsidRPr="007F7C70">
        <w:rPr>
          <w:lang w:val="cs-CZ"/>
        </w:rPr>
        <w:t>s</w:t>
      </w:r>
      <w:r w:rsidRPr="007F7C70">
        <w:rPr>
          <w:spacing w:val="-21"/>
          <w:lang w:val="cs-CZ"/>
        </w:rPr>
        <w:t xml:space="preserve"> </w:t>
      </w:r>
      <w:r w:rsidRPr="007F7C70">
        <w:rPr>
          <w:spacing w:val="-4"/>
          <w:lang w:val="cs-CZ"/>
        </w:rPr>
        <w:t>elektřinou.</w:t>
      </w:r>
    </w:p>
    <w:p w:rsidR="00F363D7" w:rsidRPr="007F7C70" w:rsidRDefault="00FD5698">
      <w:pPr>
        <w:pStyle w:val="Zkladntext"/>
        <w:spacing w:before="1"/>
        <w:ind w:left="548" w:right="165"/>
        <w:jc w:val="both"/>
        <w:rPr>
          <w:lang w:val="cs-CZ"/>
        </w:rPr>
      </w:pPr>
      <w:r w:rsidRPr="007F7C70">
        <w:rPr>
          <w:lang w:val="cs-CZ"/>
        </w:rPr>
        <w:t>Základní ustanovení ohledně fakturačního měření jsou uvedena v [1], zejména v § 49 (Měření), a dále v [2] a [5].</w:t>
      </w:r>
    </w:p>
    <w:p w:rsidR="00F363D7" w:rsidRPr="007F7C70" w:rsidRDefault="00F363D7">
      <w:pPr>
        <w:pStyle w:val="Zkladntext"/>
        <w:rPr>
          <w:sz w:val="26"/>
          <w:lang w:val="cs-CZ"/>
        </w:rPr>
      </w:pPr>
    </w:p>
    <w:p w:rsidR="00F363D7" w:rsidRPr="007F7C70" w:rsidRDefault="00F363D7">
      <w:pPr>
        <w:pStyle w:val="Zkladntext"/>
        <w:spacing w:before="9"/>
        <w:rPr>
          <w:sz w:val="29"/>
          <w:lang w:val="cs-CZ"/>
        </w:rPr>
      </w:pPr>
    </w:p>
    <w:p w:rsidR="00F363D7" w:rsidRPr="007F7C70" w:rsidRDefault="00FD5698">
      <w:pPr>
        <w:pStyle w:val="Nadpis2"/>
        <w:numPr>
          <w:ilvl w:val="1"/>
          <w:numId w:val="3"/>
        </w:numPr>
        <w:tabs>
          <w:tab w:val="left" w:pos="691"/>
          <w:tab w:val="left" w:pos="692"/>
        </w:tabs>
        <w:rPr>
          <w:lang w:val="cs-CZ"/>
        </w:rPr>
      </w:pPr>
      <w:bookmarkStart w:id="2" w:name="_TOC_250026"/>
      <w:r w:rsidRPr="007F7C70">
        <w:rPr>
          <w:lang w:val="cs-CZ"/>
        </w:rPr>
        <w:t>Měřicí místo, měřicí bod, měřicí</w:t>
      </w:r>
      <w:r w:rsidRPr="007F7C70">
        <w:rPr>
          <w:spacing w:val="3"/>
          <w:lang w:val="cs-CZ"/>
        </w:rPr>
        <w:t xml:space="preserve"> </w:t>
      </w:r>
      <w:bookmarkEnd w:id="2"/>
      <w:r w:rsidRPr="007F7C70">
        <w:rPr>
          <w:lang w:val="cs-CZ"/>
        </w:rPr>
        <w:t>zařízení</w:t>
      </w:r>
    </w:p>
    <w:p w:rsidR="00F363D7" w:rsidRPr="007F7C70" w:rsidRDefault="00F363D7">
      <w:pPr>
        <w:pStyle w:val="Zkladntext"/>
        <w:spacing w:before="1"/>
        <w:rPr>
          <w:b/>
          <w:sz w:val="33"/>
          <w:lang w:val="cs-CZ"/>
        </w:rPr>
      </w:pPr>
    </w:p>
    <w:p w:rsidR="00F363D7" w:rsidRPr="007F7C70" w:rsidRDefault="00FD5698">
      <w:pPr>
        <w:pStyle w:val="Zkladntext"/>
        <w:ind w:left="547" w:right="165"/>
        <w:jc w:val="both"/>
        <w:rPr>
          <w:lang w:val="cs-CZ"/>
        </w:rPr>
      </w:pPr>
      <w:r w:rsidRPr="007F7C70">
        <w:rPr>
          <w:b/>
          <w:lang w:val="cs-CZ"/>
        </w:rPr>
        <w:t xml:space="preserve">Měřicí bod </w:t>
      </w:r>
      <w:r w:rsidRPr="007F7C70">
        <w:rPr>
          <w:lang w:val="cs-CZ"/>
        </w:rPr>
        <w:t xml:space="preserve">je zpravidla fyzický bod sítě, ve kterém </w:t>
      </w:r>
      <w:r w:rsidRPr="007F7C70">
        <w:rPr>
          <w:lang w:val="cs-CZ"/>
        </w:rPr>
        <w:t xml:space="preserve">se snímá, měří a registruje elektřina. Podle vyskytujícího se směru toku energie se jedná o dodávající (napájecí) a / nebo </w:t>
      </w:r>
      <w:proofErr w:type="gramStart"/>
      <w:r w:rsidRPr="007F7C70">
        <w:rPr>
          <w:lang w:val="cs-CZ"/>
        </w:rPr>
        <w:t>odběrný  bod.</w:t>
      </w:r>
      <w:proofErr w:type="gramEnd"/>
      <w:r w:rsidRPr="007F7C70">
        <w:rPr>
          <w:lang w:val="cs-CZ"/>
        </w:rPr>
        <w:t xml:space="preserve">   Vytváří-li   se   u   složitějších   případů   měření   součty   nebo   </w:t>
      </w:r>
      <w:proofErr w:type="gramStart"/>
      <w:r w:rsidRPr="007F7C70">
        <w:rPr>
          <w:lang w:val="cs-CZ"/>
        </w:rPr>
        <w:t>rozdíly  z</w:t>
      </w:r>
      <w:proofErr w:type="gramEnd"/>
      <w:r w:rsidRPr="007F7C70">
        <w:rPr>
          <w:lang w:val="cs-CZ"/>
        </w:rPr>
        <w:t xml:space="preserve"> naměřených hodnot, ať už v registr</w:t>
      </w:r>
      <w:r w:rsidRPr="007F7C70">
        <w:rPr>
          <w:lang w:val="cs-CZ"/>
        </w:rPr>
        <w:t>ačních přístrojích nebo pomocí výpočetní techniky, jsou přiřazovány tzv. virtuální měřicí</w:t>
      </w:r>
      <w:r w:rsidRPr="007F7C70">
        <w:rPr>
          <w:spacing w:val="-6"/>
          <w:lang w:val="cs-CZ"/>
        </w:rPr>
        <w:t xml:space="preserve"> </w:t>
      </w:r>
      <w:r w:rsidRPr="007F7C70">
        <w:rPr>
          <w:lang w:val="cs-CZ"/>
        </w:rPr>
        <w:t>body.</w:t>
      </w:r>
    </w:p>
    <w:p w:rsidR="00F363D7" w:rsidRPr="007F7C70" w:rsidRDefault="00FD5698">
      <w:pPr>
        <w:pStyle w:val="Zkladntext"/>
        <w:ind w:left="547" w:right="167"/>
        <w:jc w:val="both"/>
        <w:rPr>
          <w:lang w:val="cs-CZ"/>
        </w:rPr>
      </w:pPr>
      <w:r w:rsidRPr="007F7C70">
        <w:rPr>
          <w:b/>
          <w:lang w:val="cs-CZ"/>
        </w:rPr>
        <w:t xml:space="preserve">Měřicí   místo    </w:t>
      </w:r>
      <w:r w:rsidRPr="007F7C70">
        <w:rPr>
          <w:lang w:val="cs-CZ"/>
        </w:rPr>
        <w:t xml:space="preserve">je   místem    měření    </w:t>
      </w:r>
      <w:bookmarkStart w:id="3" w:name="_GoBack"/>
      <w:bookmarkEnd w:id="3"/>
      <w:r w:rsidRPr="007F7C70">
        <w:rPr>
          <w:lang w:val="cs-CZ"/>
        </w:rPr>
        <w:t>elektřiny   v zařízeních    elektrizační    soustavy v předávacích a odběrných místech. Představuje v praxi soubor te</w:t>
      </w:r>
      <w:r w:rsidRPr="007F7C70">
        <w:rPr>
          <w:lang w:val="cs-CZ"/>
        </w:rPr>
        <w:t>chnických prostředků a měřicích přístrojů připojených k jednomu měřicímu</w:t>
      </w:r>
      <w:r w:rsidRPr="007F7C70">
        <w:rPr>
          <w:spacing w:val="-2"/>
          <w:lang w:val="cs-CZ"/>
        </w:rPr>
        <w:t xml:space="preserve"> </w:t>
      </w:r>
      <w:r w:rsidRPr="007F7C70">
        <w:rPr>
          <w:lang w:val="cs-CZ"/>
        </w:rPr>
        <w:t>bodu.</w:t>
      </w:r>
    </w:p>
    <w:p w:rsidR="00F363D7" w:rsidRPr="007F7C70" w:rsidRDefault="00FD5698">
      <w:pPr>
        <w:pStyle w:val="Zkladntext"/>
        <w:ind w:left="547" w:right="172"/>
        <w:jc w:val="both"/>
        <w:rPr>
          <w:lang w:val="cs-CZ"/>
        </w:rPr>
      </w:pPr>
      <w:r w:rsidRPr="007F7C70">
        <w:rPr>
          <w:b/>
          <w:lang w:val="cs-CZ"/>
        </w:rPr>
        <w:t xml:space="preserve">Měřicí zařízení </w:t>
      </w:r>
      <w:r w:rsidRPr="007F7C70">
        <w:rPr>
          <w:lang w:val="cs-CZ"/>
        </w:rPr>
        <w:t>sestává zejména z měřicích transformátorů, elektroměrů a registračních stanic, včetně příslušných spojovacích vedení, pomocných přístrojů a přístrojů určených pr</w:t>
      </w:r>
      <w:r w:rsidRPr="007F7C70">
        <w:rPr>
          <w:lang w:val="cs-CZ"/>
        </w:rPr>
        <w:t>o komunikaci.</w:t>
      </w:r>
    </w:p>
    <w:p w:rsidR="00F363D7" w:rsidRPr="007F7C70" w:rsidRDefault="00FD5698">
      <w:pPr>
        <w:pStyle w:val="Zkladntext"/>
        <w:ind w:left="547" w:right="167"/>
        <w:jc w:val="both"/>
        <w:rPr>
          <w:lang w:val="cs-CZ"/>
        </w:rPr>
      </w:pPr>
      <w:r w:rsidRPr="007F7C70">
        <w:rPr>
          <w:lang w:val="cs-CZ"/>
        </w:rPr>
        <w:t xml:space="preserve">Z definice měřicího bodu, měřicího místa, měřicího zařízení a odběrného nebo </w:t>
      </w:r>
      <w:proofErr w:type="gramStart"/>
      <w:r w:rsidRPr="007F7C70">
        <w:rPr>
          <w:lang w:val="cs-CZ"/>
        </w:rPr>
        <w:t>předávacího  místa</w:t>
      </w:r>
      <w:proofErr w:type="gramEnd"/>
      <w:r w:rsidRPr="007F7C70">
        <w:rPr>
          <w:lang w:val="cs-CZ"/>
        </w:rPr>
        <w:t xml:space="preserve">  dále  vyplývá,  že  odběrné  (předávací)  místo  se  v zásadě  skládá   z jednoho měřicího místa. To současně znamená, že je tvořeno jedním měřic</w:t>
      </w:r>
      <w:r w:rsidRPr="007F7C70">
        <w:rPr>
          <w:lang w:val="cs-CZ"/>
        </w:rPr>
        <w:t>ím zařízením ve smyslu [1]. U složitějších případů napájení odběrných míst a dále v elektrických stanicích a výrobnách elektřiny nelze vždy vystačit s jedním měřicím místem. Takovéto odběrné místo stanice nebo výrobny je potom složeno z více měřicích míst,</w:t>
      </w:r>
      <w:r w:rsidRPr="007F7C70">
        <w:rPr>
          <w:lang w:val="cs-CZ"/>
        </w:rPr>
        <w:t xml:space="preserve"> tzn., že sestává i z více měřicích zařízení. Celková odebraná nebo dodaná energie v takovémto odběrném nebo předávacím místě se stanovuje jako fyzický nebo logický součet jednotlivých měřicích míst. Fyzickým součtem se rozumí převážně HW řešení za použití</w:t>
      </w:r>
      <w:r w:rsidRPr="007F7C70">
        <w:rPr>
          <w:lang w:val="cs-CZ"/>
        </w:rPr>
        <w:t xml:space="preserve"> registračního (součtového) přístroje, na jehož vstupy jsou připojena jednotlivá měřicí zařízení z příslušných měřicích míst. Logickým součtem se rozumí SW řešení zpravidla v sídle </w:t>
      </w:r>
      <w:r w:rsidRPr="007F7C70">
        <w:rPr>
          <w:b/>
          <w:lang w:val="cs-CZ"/>
        </w:rPr>
        <w:t>PLDS</w:t>
      </w:r>
      <w:r w:rsidRPr="007F7C70">
        <w:rPr>
          <w:lang w:val="cs-CZ"/>
        </w:rPr>
        <w:t>, za využití výpočetní</w:t>
      </w:r>
      <w:r w:rsidRPr="007F7C70">
        <w:rPr>
          <w:spacing w:val="-3"/>
          <w:lang w:val="cs-CZ"/>
        </w:rPr>
        <w:t xml:space="preserve"> </w:t>
      </w:r>
      <w:r w:rsidRPr="007F7C70">
        <w:rPr>
          <w:lang w:val="cs-CZ"/>
        </w:rPr>
        <w:t>techniky.</w:t>
      </w:r>
    </w:p>
    <w:p w:rsidR="00F363D7" w:rsidRPr="007F7C70" w:rsidRDefault="00F363D7">
      <w:pPr>
        <w:pStyle w:val="Zkladntext"/>
        <w:rPr>
          <w:sz w:val="26"/>
          <w:lang w:val="cs-CZ"/>
        </w:rPr>
      </w:pPr>
    </w:p>
    <w:p w:rsidR="00F363D7" w:rsidRPr="007F7C70" w:rsidRDefault="00F363D7">
      <w:pPr>
        <w:pStyle w:val="Zkladntext"/>
        <w:spacing w:before="9"/>
        <w:rPr>
          <w:sz w:val="29"/>
          <w:lang w:val="cs-CZ"/>
        </w:rPr>
      </w:pPr>
    </w:p>
    <w:p w:rsidR="00F363D7" w:rsidRPr="007F7C70" w:rsidRDefault="00FD5698">
      <w:pPr>
        <w:pStyle w:val="Nadpis2"/>
        <w:numPr>
          <w:ilvl w:val="1"/>
          <w:numId w:val="3"/>
        </w:numPr>
        <w:tabs>
          <w:tab w:val="left" w:pos="691"/>
          <w:tab w:val="left" w:pos="692"/>
        </w:tabs>
        <w:spacing w:before="1"/>
        <w:rPr>
          <w:lang w:val="cs-CZ"/>
        </w:rPr>
      </w:pPr>
      <w:bookmarkStart w:id="4" w:name="_TOC_250025"/>
      <w:r w:rsidRPr="007F7C70">
        <w:rPr>
          <w:lang w:val="cs-CZ"/>
        </w:rPr>
        <w:t>Zvláštní požadavky na fakturační</w:t>
      </w:r>
      <w:r w:rsidRPr="007F7C70">
        <w:rPr>
          <w:spacing w:val="-4"/>
          <w:lang w:val="cs-CZ"/>
        </w:rPr>
        <w:t xml:space="preserve"> </w:t>
      </w:r>
      <w:bookmarkEnd w:id="4"/>
      <w:r w:rsidRPr="007F7C70">
        <w:rPr>
          <w:lang w:val="cs-CZ"/>
        </w:rPr>
        <w:t>měření</w:t>
      </w:r>
    </w:p>
    <w:p w:rsidR="00F363D7" w:rsidRPr="007F7C70" w:rsidRDefault="00FD5698">
      <w:pPr>
        <w:pStyle w:val="Zkladntext"/>
        <w:spacing w:before="106"/>
        <w:ind w:left="547" w:right="168"/>
        <w:jc w:val="both"/>
        <w:rPr>
          <w:lang w:val="cs-CZ"/>
        </w:rPr>
      </w:pPr>
      <w:r w:rsidRPr="007F7C70">
        <w:rPr>
          <w:lang w:val="cs-CZ"/>
        </w:rPr>
        <w:t>Výjimečné postavení z přístrojů měřicího zařízení zaujímá elektroměr a měřicí transformátory proudu a napětí. Jedná se o tzv. pracovní měřidla stanovená (zkráceně jen “stanovená měřidla”) a vztahuje se na ně [3] a dále zejména [4] a [6]. V praxi to znamená</w:t>
      </w:r>
      <w:r w:rsidRPr="007F7C70">
        <w:rPr>
          <w:lang w:val="cs-CZ"/>
        </w:rPr>
        <w:t xml:space="preserve">, že jako elektroměr a měřicí transformátor musí </w:t>
      </w:r>
      <w:r w:rsidRPr="007F7C70">
        <w:rPr>
          <w:spacing w:val="-2"/>
          <w:lang w:val="cs-CZ"/>
        </w:rPr>
        <w:t xml:space="preserve">být </w:t>
      </w:r>
      <w:r w:rsidRPr="007F7C70">
        <w:rPr>
          <w:lang w:val="cs-CZ"/>
        </w:rPr>
        <w:t>ve fakturačním měření použit (uveden do oběhu) takový přístroj, který má přidělenu značku schváleného typu, je ověřen a opatřen platnou</w:t>
      </w:r>
      <w:r w:rsidRPr="007F7C70">
        <w:rPr>
          <w:spacing w:val="20"/>
          <w:lang w:val="cs-CZ"/>
        </w:rPr>
        <w:t xml:space="preserve"> </w:t>
      </w:r>
      <w:r w:rsidRPr="007F7C70">
        <w:rPr>
          <w:lang w:val="cs-CZ"/>
        </w:rPr>
        <w:t>úřední značkou a splňuje technické požadavky nově uváděných</w:t>
      </w:r>
    </w:p>
    <w:p w:rsidR="00F363D7" w:rsidRPr="007F7C70" w:rsidRDefault="00F363D7">
      <w:pPr>
        <w:jc w:val="both"/>
        <w:rPr>
          <w:lang w:val="cs-CZ"/>
        </w:rPr>
        <w:sectPr w:rsidR="00F363D7" w:rsidRPr="007F7C70">
          <w:footerReference w:type="default" r:id="rId7"/>
          <w:pgSz w:w="11900" w:h="16840"/>
          <w:pgMar w:top="1300" w:right="1240" w:bottom="1220" w:left="1300" w:header="0" w:footer="1037" w:gutter="0"/>
          <w:pgNumType w:start="3"/>
          <w:cols w:space="708"/>
        </w:sectPr>
      </w:pPr>
    </w:p>
    <w:p w:rsidR="00F363D7" w:rsidRPr="007F7C70" w:rsidRDefault="00FD5698">
      <w:pPr>
        <w:pStyle w:val="Zkladntext"/>
        <w:spacing w:before="64"/>
        <w:ind w:left="547" w:right="173"/>
        <w:jc w:val="both"/>
        <w:rPr>
          <w:lang w:val="cs-CZ"/>
        </w:rPr>
      </w:pPr>
      <w:r w:rsidRPr="007F7C70">
        <w:rPr>
          <w:lang w:val="cs-CZ"/>
        </w:rPr>
        <w:lastRenderedPageBreak/>
        <w:t>měřidel do oběhu dle [6] a musí být opatřeny zajišťovací značkou výrobce proti neoprávněné manipulaci a doplňkovým metrologickým značením.</w:t>
      </w:r>
    </w:p>
    <w:p w:rsidR="00F363D7" w:rsidRPr="007F7C70" w:rsidRDefault="00FD5698">
      <w:pPr>
        <w:pStyle w:val="Zkladntext"/>
        <w:ind w:left="547" w:right="168"/>
        <w:jc w:val="both"/>
        <w:rPr>
          <w:lang w:val="cs-CZ"/>
        </w:rPr>
      </w:pPr>
      <w:r w:rsidRPr="007F7C70">
        <w:rPr>
          <w:lang w:val="cs-CZ"/>
        </w:rPr>
        <w:t>Pokud je elektroměr vybav</w:t>
      </w:r>
      <w:r w:rsidRPr="007F7C70">
        <w:rPr>
          <w:lang w:val="cs-CZ"/>
        </w:rPr>
        <w:t>en přídavnými funkcemi, jako je např. měření a záznam parametrů kvality elektřiny nebo dálkový přenos naměřených dat, musí být jeho základní měřicí funkce dostatečně zabezpečeny před neoprávněným přístupem.</w:t>
      </w:r>
    </w:p>
    <w:p w:rsidR="00F363D7" w:rsidRPr="007F7C70" w:rsidRDefault="00FD5698">
      <w:pPr>
        <w:pStyle w:val="Zkladntext"/>
        <w:spacing w:before="1"/>
        <w:ind w:left="547" w:right="167"/>
        <w:jc w:val="both"/>
        <w:rPr>
          <w:lang w:val="cs-CZ"/>
        </w:rPr>
      </w:pPr>
      <w:r w:rsidRPr="007F7C70">
        <w:rPr>
          <w:lang w:val="cs-CZ"/>
        </w:rPr>
        <w:t>Výrobci a zákazníci jsou povinni podle [1] neprodleně hlásit závady na měřicích zařízeních, včetně porušení zajištění proti neoprávněné manipulaci, které zjistí. Tato povinnost vyplývá z toho, že měřicí zařízení se nachází zpravidla v odběrném zařízení zák</w:t>
      </w:r>
      <w:r w:rsidRPr="007F7C70">
        <w:rPr>
          <w:lang w:val="cs-CZ"/>
        </w:rPr>
        <w:t>azníka nebo ve výrobním zařízení výrobce a nemůže být z objektivních důvodů pod častější pravidelnou a přímou kontrolou PLDS.</w:t>
      </w:r>
    </w:p>
    <w:p w:rsidR="00F363D7" w:rsidRPr="007F7C70" w:rsidRDefault="00FD5698">
      <w:pPr>
        <w:pStyle w:val="Zkladntext"/>
        <w:ind w:left="548" w:right="167"/>
        <w:jc w:val="both"/>
        <w:rPr>
          <w:lang w:val="cs-CZ"/>
        </w:rPr>
      </w:pPr>
      <w:r w:rsidRPr="007F7C70">
        <w:rPr>
          <w:lang w:val="cs-CZ"/>
        </w:rPr>
        <w:t xml:space="preserve">Uživatel DS (výrobce i zákazník) nesmí připojit k distribuční síti žádná zařízení, která by ovlivňovala správnost měření, zvláště </w:t>
      </w:r>
      <w:r w:rsidRPr="007F7C70">
        <w:rPr>
          <w:lang w:val="cs-CZ"/>
        </w:rPr>
        <w:t>pak ta za účelem vlastního prospěchu.</w:t>
      </w:r>
    </w:p>
    <w:p w:rsidR="00F363D7" w:rsidRPr="007F7C70" w:rsidRDefault="00F363D7">
      <w:pPr>
        <w:pStyle w:val="Zkladntext"/>
        <w:rPr>
          <w:sz w:val="26"/>
          <w:lang w:val="cs-CZ"/>
        </w:rPr>
      </w:pPr>
    </w:p>
    <w:p w:rsidR="00F363D7" w:rsidRPr="007F7C70" w:rsidRDefault="00F363D7">
      <w:pPr>
        <w:pStyle w:val="Zkladntext"/>
        <w:spacing w:before="9"/>
        <w:rPr>
          <w:sz w:val="29"/>
          <w:lang w:val="cs-CZ"/>
        </w:rPr>
      </w:pPr>
    </w:p>
    <w:p w:rsidR="00F363D7" w:rsidRPr="007F7C70" w:rsidRDefault="00FD5698">
      <w:pPr>
        <w:pStyle w:val="Nadpis2"/>
        <w:numPr>
          <w:ilvl w:val="1"/>
          <w:numId w:val="3"/>
        </w:numPr>
        <w:tabs>
          <w:tab w:val="left" w:pos="691"/>
          <w:tab w:val="left" w:pos="692"/>
        </w:tabs>
        <w:rPr>
          <w:lang w:val="cs-CZ"/>
        </w:rPr>
      </w:pPr>
      <w:bookmarkStart w:id="5" w:name="_TOC_250024"/>
      <w:bookmarkEnd w:id="5"/>
      <w:r w:rsidRPr="007F7C70">
        <w:rPr>
          <w:lang w:val="cs-CZ"/>
        </w:rPr>
        <w:t>Vymezení povinností PLDS, výrobců a zákazníků</w:t>
      </w:r>
    </w:p>
    <w:p w:rsidR="00F363D7" w:rsidRPr="007F7C70" w:rsidRDefault="00FD5698">
      <w:pPr>
        <w:pStyle w:val="Zkladntext"/>
        <w:spacing w:before="107"/>
        <w:ind w:left="547" w:right="167"/>
        <w:jc w:val="both"/>
        <w:rPr>
          <w:lang w:val="cs-CZ"/>
        </w:rPr>
      </w:pPr>
      <w:r w:rsidRPr="007F7C70">
        <w:rPr>
          <w:lang w:val="cs-CZ"/>
        </w:rPr>
        <w:t>Za funkčnost a správnost měřicího zařízení, tj. souboru měřicích a technických prostředků jako celku, je zodpovědný příslušný PLDS, což vyplývá z jeho povinnosti zajišťov</w:t>
      </w:r>
      <w:r w:rsidRPr="007F7C70">
        <w:rPr>
          <w:lang w:val="cs-CZ"/>
        </w:rPr>
        <w:t>at měření v LDS [1]. Aby mohl PLDS dostát této své povinnosti, jsou výrobci a zákazníci povinni rovněž dle ustanovení [1] upravit na svůj náklad předávací místo nebo odběrné místo pro instalaci měřicího zařízení. Konkrétně se jedná o následující možné úpra</w:t>
      </w:r>
      <w:r w:rsidRPr="007F7C70">
        <w:rPr>
          <w:lang w:val="cs-CZ"/>
        </w:rPr>
        <w:t>vy:</w:t>
      </w:r>
    </w:p>
    <w:p w:rsidR="00F363D7" w:rsidRPr="007F7C70" w:rsidRDefault="00FD5698">
      <w:pPr>
        <w:pStyle w:val="Odstavecseseznamem"/>
        <w:numPr>
          <w:ilvl w:val="2"/>
          <w:numId w:val="3"/>
        </w:numPr>
        <w:tabs>
          <w:tab w:val="left" w:pos="1268"/>
        </w:tabs>
        <w:spacing w:before="2"/>
        <w:ind w:right="167"/>
        <w:jc w:val="both"/>
        <w:rPr>
          <w:sz w:val="24"/>
          <w:lang w:val="cs-CZ"/>
        </w:rPr>
      </w:pPr>
      <w:r w:rsidRPr="007F7C70">
        <w:rPr>
          <w:sz w:val="24"/>
          <w:lang w:val="cs-CZ"/>
        </w:rPr>
        <w:t>Montáž, popř. výměnu měřicích transformátorů v odběrném místě s převodovým měřením za schválené typy, s platným ověřením a technickými parametry stanovenými příslušným PLDS (provedení, technické parametry měřicích jader, primární a sekundární jmenovité</w:t>
      </w:r>
      <w:r w:rsidRPr="007F7C70">
        <w:rPr>
          <w:sz w:val="24"/>
          <w:lang w:val="cs-CZ"/>
        </w:rPr>
        <w:t xml:space="preserve"> hodnoty měřených veličin, jmenovité zatížení, </w:t>
      </w:r>
      <w:proofErr w:type="gramStart"/>
      <w:r w:rsidRPr="007F7C70">
        <w:rPr>
          <w:sz w:val="24"/>
          <w:lang w:val="cs-CZ"/>
        </w:rPr>
        <w:t>zapojení,</w:t>
      </w:r>
      <w:proofErr w:type="gramEnd"/>
      <w:r w:rsidRPr="007F7C70">
        <w:rPr>
          <w:sz w:val="24"/>
          <w:lang w:val="cs-CZ"/>
        </w:rPr>
        <w:t xml:space="preserve"> apod. jsou součástí vnitřních standardů příslušného PLDS). Povinnost zajistit a nákladově uhradit výměnu měřicích transformátorů je zakotvena v [1]. Měřicí transformátory proudu a napětí jsou součást</w:t>
      </w:r>
      <w:r w:rsidRPr="007F7C70">
        <w:rPr>
          <w:sz w:val="24"/>
          <w:lang w:val="cs-CZ"/>
        </w:rPr>
        <w:t xml:space="preserve">í odběrného místa. Kromě příslušné měřicí funkce v záležitosti fakturačního měření nesmí </w:t>
      </w:r>
      <w:r w:rsidRPr="007F7C70">
        <w:rPr>
          <w:spacing w:val="-2"/>
          <w:sz w:val="24"/>
          <w:lang w:val="cs-CZ"/>
        </w:rPr>
        <w:t xml:space="preserve">být </w:t>
      </w:r>
      <w:r w:rsidRPr="007F7C70">
        <w:rPr>
          <w:sz w:val="24"/>
          <w:lang w:val="cs-CZ"/>
        </w:rPr>
        <w:t>měřicí jádro použito pro zajištění funkce ochran rozvodného zařízení apod. Měřicí transformátory kromě toho představují rozměrově i typově konstrukční prvek, závis</w:t>
      </w:r>
      <w:r w:rsidRPr="007F7C70">
        <w:rPr>
          <w:sz w:val="24"/>
          <w:lang w:val="cs-CZ"/>
        </w:rPr>
        <w:t>lý na celkovém provedení rozvodného zařízení nebo příslušného elektroměrového</w:t>
      </w:r>
      <w:r w:rsidRPr="007F7C70">
        <w:rPr>
          <w:spacing w:val="-1"/>
          <w:sz w:val="24"/>
          <w:lang w:val="cs-CZ"/>
        </w:rPr>
        <w:t xml:space="preserve"> </w:t>
      </w:r>
      <w:r w:rsidRPr="007F7C70">
        <w:rPr>
          <w:sz w:val="24"/>
          <w:lang w:val="cs-CZ"/>
        </w:rPr>
        <w:t>rozváděče.</w:t>
      </w:r>
    </w:p>
    <w:p w:rsidR="00F363D7" w:rsidRPr="007F7C70" w:rsidRDefault="00FD5698">
      <w:pPr>
        <w:pStyle w:val="Odstavecseseznamem"/>
        <w:numPr>
          <w:ilvl w:val="2"/>
          <w:numId w:val="3"/>
        </w:numPr>
        <w:tabs>
          <w:tab w:val="left" w:pos="1268"/>
        </w:tabs>
        <w:ind w:right="168"/>
        <w:jc w:val="both"/>
        <w:rPr>
          <w:sz w:val="24"/>
          <w:lang w:val="cs-CZ"/>
        </w:rPr>
      </w:pPr>
      <w:r w:rsidRPr="007F7C70">
        <w:rPr>
          <w:sz w:val="24"/>
          <w:lang w:val="cs-CZ"/>
        </w:rPr>
        <w:t>Položení nepřerušovaných, samostatných spojovacích vedení mezi měřicími transformátory a elektroměry zkušebními svorkovnicemi, resp. jistícími prvky (dimenzování spojo</w:t>
      </w:r>
      <w:r w:rsidRPr="007F7C70">
        <w:rPr>
          <w:sz w:val="24"/>
          <w:lang w:val="cs-CZ"/>
        </w:rPr>
        <w:t>vacího vedení u převodového měření dle vnitřních standardů příslušného</w:t>
      </w:r>
      <w:r w:rsidRPr="007F7C70">
        <w:rPr>
          <w:spacing w:val="-1"/>
          <w:sz w:val="24"/>
          <w:lang w:val="cs-CZ"/>
        </w:rPr>
        <w:t xml:space="preserve"> </w:t>
      </w:r>
      <w:r w:rsidRPr="007F7C70">
        <w:rPr>
          <w:sz w:val="24"/>
          <w:lang w:val="cs-CZ"/>
        </w:rPr>
        <w:t>PLDS).</w:t>
      </w:r>
    </w:p>
    <w:p w:rsidR="00F363D7" w:rsidRPr="007F7C70" w:rsidRDefault="00FD5698">
      <w:pPr>
        <w:pStyle w:val="Odstavecseseznamem"/>
        <w:numPr>
          <w:ilvl w:val="2"/>
          <w:numId w:val="3"/>
        </w:numPr>
        <w:tabs>
          <w:tab w:val="left" w:pos="1268"/>
        </w:tabs>
        <w:spacing w:line="237" w:lineRule="auto"/>
        <w:ind w:right="172"/>
        <w:jc w:val="both"/>
        <w:rPr>
          <w:sz w:val="24"/>
          <w:lang w:val="cs-CZ"/>
        </w:rPr>
      </w:pPr>
      <w:proofErr w:type="gramStart"/>
      <w:r w:rsidRPr="007F7C70">
        <w:rPr>
          <w:sz w:val="24"/>
          <w:lang w:val="cs-CZ"/>
        </w:rPr>
        <w:t>Zajištění  příslušného</w:t>
      </w:r>
      <w:proofErr w:type="gramEnd"/>
      <w:r w:rsidRPr="007F7C70">
        <w:rPr>
          <w:sz w:val="24"/>
          <w:lang w:val="cs-CZ"/>
        </w:rPr>
        <w:t xml:space="preserve">  rozhraní  dle  specifikace  PLDS  pro  využívání  výstupů   z elektroměru nebo integračního přístroje ke sledování a / nebo řízení odběru zákazníka nebo</w:t>
      </w:r>
      <w:r w:rsidRPr="007F7C70">
        <w:rPr>
          <w:spacing w:val="-2"/>
          <w:sz w:val="24"/>
          <w:lang w:val="cs-CZ"/>
        </w:rPr>
        <w:t xml:space="preserve"> </w:t>
      </w:r>
      <w:r w:rsidRPr="007F7C70">
        <w:rPr>
          <w:sz w:val="24"/>
          <w:lang w:val="cs-CZ"/>
        </w:rPr>
        <w:t>v</w:t>
      </w:r>
      <w:r w:rsidRPr="007F7C70">
        <w:rPr>
          <w:sz w:val="24"/>
          <w:lang w:val="cs-CZ"/>
        </w:rPr>
        <w:t>ýrobce.</w:t>
      </w:r>
    </w:p>
    <w:p w:rsidR="00F363D7" w:rsidRPr="007F7C70" w:rsidRDefault="00FD5698">
      <w:pPr>
        <w:pStyle w:val="Odstavecseseznamem"/>
        <w:numPr>
          <w:ilvl w:val="2"/>
          <w:numId w:val="3"/>
        </w:numPr>
        <w:tabs>
          <w:tab w:val="left" w:pos="1268"/>
        </w:tabs>
        <w:spacing w:before="7" w:line="237" w:lineRule="auto"/>
        <w:ind w:right="170"/>
        <w:jc w:val="both"/>
        <w:rPr>
          <w:sz w:val="24"/>
          <w:lang w:val="cs-CZ"/>
        </w:rPr>
      </w:pPr>
      <w:proofErr w:type="gramStart"/>
      <w:r w:rsidRPr="007F7C70">
        <w:rPr>
          <w:sz w:val="24"/>
          <w:lang w:val="cs-CZ"/>
        </w:rPr>
        <w:t>Zajištění  spojovacího</w:t>
      </w:r>
      <w:proofErr w:type="gramEnd"/>
      <w:r w:rsidRPr="007F7C70">
        <w:rPr>
          <w:sz w:val="24"/>
          <w:lang w:val="cs-CZ"/>
        </w:rPr>
        <w:t xml:space="preserve">  vedení   mezi   elektroměry   a   registračním   přístrojem  u případů složitějších měření typu A nebo B. Připojení zajištěného napájení,</w:t>
      </w:r>
      <w:r w:rsidRPr="007F7C70">
        <w:rPr>
          <w:spacing w:val="-14"/>
          <w:sz w:val="24"/>
          <w:lang w:val="cs-CZ"/>
        </w:rPr>
        <w:t xml:space="preserve"> </w:t>
      </w:r>
      <w:r w:rsidRPr="007F7C70">
        <w:rPr>
          <w:sz w:val="24"/>
          <w:lang w:val="cs-CZ"/>
        </w:rPr>
        <w:t>atd.</w:t>
      </w:r>
    </w:p>
    <w:p w:rsidR="00F363D7" w:rsidRPr="007F7C70" w:rsidRDefault="00FD5698">
      <w:pPr>
        <w:pStyle w:val="Odstavecseseznamem"/>
        <w:numPr>
          <w:ilvl w:val="2"/>
          <w:numId w:val="3"/>
        </w:numPr>
        <w:tabs>
          <w:tab w:val="left" w:pos="1268"/>
        </w:tabs>
        <w:spacing w:before="2"/>
        <w:ind w:right="170"/>
        <w:jc w:val="both"/>
        <w:rPr>
          <w:sz w:val="24"/>
          <w:lang w:val="cs-CZ"/>
        </w:rPr>
      </w:pPr>
      <w:r w:rsidRPr="007F7C70">
        <w:rPr>
          <w:sz w:val="24"/>
          <w:lang w:val="cs-CZ"/>
        </w:rPr>
        <w:t>Připojení samostatné telefonní linky pro dálkový odečet naměřených hodnot (jen u měření typu</w:t>
      </w:r>
      <w:r w:rsidRPr="007F7C70">
        <w:rPr>
          <w:spacing w:val="1"/>
          <w:sz w:val="24"/>
          <w:lang w:val="cs-CZ"/>
        </w:rPr>
        <w:t xml:space="preserve"> </w:t>
      </w:r>
      <w:r w:rsidRPr="007F7C70">
        <w:rPr>
          <w:sz w:val="24"/>
          <w:lang w:val="cs-CZ"/>
        </w:rPr>
        <w:t>A).</w:t>
      </w:r>
    </w:p>
    <w:p w:rsidR="00F363D7" w:rsidRPr="007F7C70" w:rsidRDefault="00FD5698">
      <w:pPr>
        <w:pStyle w:val="Odstavecseseznamem"/>
        <w:numPr>
          <w:ilvl w:val="2"/>
          <w:numId w:val="3"/>
        </w:numPr>
        <w:tabs>
          <w:tab w:val="left" w:pos="1268"/>
        </w:tabs>
        <w:spacing w:before="4" w:line="237" w:lineRule="auto"/>
        <w:ind w:right="170"/>
        <w:jc w:val="both"/>
        <w:rPr>
          <w:sz w:val="24"/>
          <w:lang w:val="cs-CZ"/>
        </w:rPr>
      </w:pPr>
      <w:r w:rsidRPr="007F7C70">
        <w:rPr>
          <w:sz w:val="24"/>
          <w:lang w:val="cs-CZ"/>
        </w:rPr>
        <w:t>Zajištění, popř. úpravu rozváděčů, měřicích skříní nebo elektroměrových desek pro montáž elektroměrů a dalších přístrojů podle technické specifikace PLDS. (Provedení a umístění rozváděčů v souladu s vnitřními standardy</w:t>
      </w:r>
      <w:r w:rsidRPr="007F7C70">
        <w:rPr>
          <w:spacing w:val="-11"/>
          <w:sz w:val="24"/>
          <w:lang w:val="cs-CZ"/>
        </w:rPr>
        <w:t xml:space="preserve"> </w:t>
      </w:r>
      <w:r w:rsidRPr="007F7C70">
        <w:rPr>
          <w:sz w:val="24"/>
          <w:lang w:val="cs-CZ"/>
        </w:rPr>
        <w:t>PLDS).</w:t>
      </w:r>
    </w:p>
    <w:p w:rsidR="00F363D7" w:rsidRPr="007F7C70" w:rsidRDefault="00FD5698">
      <w:pPr>
        <w:pStyle w:val="Odstavecseseznamem"/>
        <w:numPr>
          <w:ilvl w:val="2"/>
          <w:numId w:val="3"/>
        </w:numPr>
        <w:tabs>
          <w:tab w:val="left" w:pos="1267"/>
          <w:tab w:val="left" w:pos="1268"/>
        </w:tabs>
        <w:spacing w:before="5"/>
        <w:rPr>
          <w:sz w:val="24"/>
          <w:lang w:val="cs-CZ"/>
        </w:rPr>
      </w:pPr>
      <w:r w:rsidRPr="007F7C70">
        <w:rPr>
          <w:sz w:val="24"/>
          <w:lang w:val="cs-CZ"/>
        </w:rPr>
        <w:t>Výměnu a montáž předřazeného j</w:t>
      </w:r>
      <w:r w:rsidRPr="007F7C70">
        <w:rPr>
          <w:sz w:val="24"/>
          <w:lang w:val="cs-CZ"/>
        </w:rPr>
        <w:t>isticího prvku za odpovídající typ a</w:t>
      </w:r>
      <w:r w:rsidRPr="007F7C70">
        <w:rPr>
          <w:spacing w:val="-8"/>
          <w:sz w:val="24"/>
          <w:lang w:val="cs-CZ"/>
        </w:rPr>
        <w:t xml:space="preserve"> </w:t>
      </w:r>
      <w:r w:rsidRPr="007F7C70">
        <w:rPr>
          <w:sz w:val="24"/>
          <w:lang w:val="cs-CZ"/>
        </w:rPr>
        <w:t>velikost.</w:t>
      </w:r>
    </w:p>
    <w:p w:rsidR="00F363D7" w:rsidRPr="007F7C70" w:rsidRDefault="00F363D7">
      <w:pPr>
        <w:rPr>
          <w:sz w:val="24"/>
          <w:lang w:val="cs-CZ"/>
        </w:rPr>
        <w:sectPr w:rsidR="00F363D7" w:rsidRPr="007F7C70">
          <w:pgSz w:w="11900" w:h="16840"/>
          <w:pgMar w:top="1060" w:right="1240" w:bottom="1220" w:left="1300" w:header="0" w:footer="1037" w:gutter="0"/>
          <w:cols w:space="708"/>
        </w:sectPr>
      </w:pPr>
    </w:p>
    <w:p w:rsidR="00F363D7" w:rsidRPr="007F7C70" w:rsidRDefault="00FD5698">
      <w:pPr>
        <w:pStyle w:val="Odstavecseseznamem"/>
        <w:numPr>
          <w:ilvl w:val="2"/>
          <w:numId w:val="3"/>
        </w:numPr>
        <w:tabs>
          <w:tab w:val="left" w:pos="1268"/>
        </w:tabs>
        <w:spacing w:before="86"/>
        <w:ind w:right="170"/>
        <w:jc w:val="both"/>
        <w:rPr>
          <w:sz w:val="24"/>
          <w:lang w:val="cs-CZ"/>
        </w:rPr>
      </w:pPr>
      <w:r w:rsidRPr="007F7C70">
        <w:rPr>
          <w:sz w:val="24"/>
          <w:lang w:val="cs-CZ"/>
        </w:rPr>
        <w:lastRenderedPageBreak/>
        <w:t>Při podstatném a dlouhodobém zvýšení nebo snížení zatížení měničů, tj. primární jmenovité hodnoty měřené veličiny, může PDS nařídit výměnu měřicích transformátorů.</w:t>
      </w:r>
    </w:p>
    <w:p w:rsidR="00F363D7" w:rsidRPr="007F7C70" w:rsidRDefault="00FD5698">
      <w:pPr>
        <w:pStyle w:val="Zkladntext"/>
        <w:spacing w:before="2" w:line="292" w:lineRule="exact"/>
        <w:ind w:left="907"/>
        <w:rPr>
          <w:rFonts w:ascii="Symbol" w:hAnsi="Symbol"/>
          <w:lang w:val="cs-CZ"/>
        </w:rPr>
      </w:pPr>
      <w:r w:rsidRPr="007F7C70">
        <w:rPr>
          <w:rFonts w:ascii="Symbol" w:hAnsi="Symbol"/>
          <w:w w:val="99"/>
          <w:lang w:val="cs-CZ"/>
        </w:rPr>
        <w:t></w:t>
      </w:r>
    </w:p>
    <w:p w:rsidR="00F363D7" w:rsidRPr="007F7C70" w:rsidRDefault="00FD5698">
      <w:pPr>
        <w:ind w:left="547" w:right="170"/>
        <w:jc w:val="both"/>
        <w:rPr>
          <w:i/>
          <w:sz w:val="24"/>
          <w:lang w:val="cs-CZ"/>
        </w:rPr>
      </w:pPr>
      <w:r w:rsidRPr="007F7C70">
        <w:rPr>
          <w:i/>
          <w:sz w:val="24"/>
          <w:lang w:val="cs-CZ"/>
        </w:rPr>
        <w:t xml:space="preserve">Poznámka: Počet a rozsah </w:t>
      </w:r>
      <w:r w:rsidRPr="007F7C70">
        <w:rPr>
          <w:i/>
          <w:sz w:val="24"/>
          <w:lang w:val="cs-CZ"/>
        </w:rPr>
        <w:t>požadovaných úprav se odvíjí od reálného stavu měřicího zařízení v odběrném nebo předávacím místě a závisí rovněž na typu měření (v textu uvedeno) dle [2] citované v odst. 1.3. Veškeré podrobnosti stanovuje příslušný standard PLDS. U nových nebo celkově re</w:t>
      </w:r>
      <w:r w:rsidRPr="007F7C70">
        <w:rPr>
          <w:i/>
          <w:sz w:val="24"/>
          <w:lang w:val="cs-CZ"/>
        </w:rPr>
        <w:t>konstruovaných odběrných míst schvaluje PLDS příslušnou projektovou dokumentaci.</w:t>
      </w:r>
    </w:p>
    <w:p w:rsidR="00F363D7" w:rsidRPr="007F7C70" w:rsidRDefault="00F363D7">
      <w:pPr>
        <w:pStyle w:val="Zkladntext"/>
        <w:rPr>
          <w:i/>
          <w:sz w:val="26"/>
          <w:lang w:val="cs-CZ"/>
        </w:rPr>
      </w:pPr>
    </w:p>
    <w:p w:rsidR="00F363D7" w:rsidRPr="007F7C70" w:rsidRDefault="00F363D7">
      <w:pPr>
        <w:pStyle w:val="Zkladntext"/>
        <w:spacing w:before="7"/>
        <w:rPr>
          <w:i/>
          <w:sz w:val="29"/>
          <w:lang w:val="cs-CZ"/>
        </w:rPr>
      </w:pPr>
    </w:p>
    <w:p w:rsidR="00F363D7" w:rsidRPr="007F7C70" w:rsidRDefault="00FD5698">
      <w:pPr>
        <w:pStyle w:val="Nadpis2"/>
        <w:numPr>
          <w:ilvl w:val="1"/>
          <w:numId w:val="3"/>
        </w:numPr>
        <w:tabs>
          <w:tab w:val="left" w:pos="691"/>
          <w:tab w:val="left" w:pos="692"/>
        </w:tabs>
        <w:spacing w:before="1"/>
        <w:rPr>
          <w:lang w:val="cs-CZ"/>
        </w:rPr>
      </w:pPr>
      <w:bookmarkStart w:id="6" w:name="_TOC_250023"/>
      <w:r w:rsidRPr="007F7C70">
        <w:rPr>
          <w:lang w:val="cs-CZ"/>
        </w:rPr>
        <w:t>Měřicí a vyhodnocovací</w:t>
      </w:r>
      <w:r w:rsidRPr="007F7C70">
        <w:rPr>
          <w:spacing w:val="1"/>
          <w:lang w:val="cs-CZ"/>
        </w:rPr>
        <w:t xml:space="preserve"> </w:t>
      </w:r>
      <w:bookmarkEnd w:id="6"/>
      <w:r w:rsidRPr="007F7C70">
        <w:rPr>
          <w:lang w:val="cs-CZ"/>
        </w:rPr>
        <w:t>interval</w:t>
      </w:r>
    </w:p>
    <w:p w:rsidR="00F363D7" w:rsidRPr="007F7C70" w:rsidRDefault="00FD5698">
      <w:pPr>
        <w:pStyle w:val="Zkladntext"/>
        <w:spacing w:before="104"/>
        <w:ind w:left="547" w:right="167"/>
        <w:jc w:val="both"/>
        <w:rPr>
          <w:lang w:val="cs-CZ"/>
        </w:rPr>
      </w:pPr>
      <w:r w:rsidRPr="007F7C70">
        <w:rPr>
          <w:lang w:val="cs-CZ"/>
        </w:rPr>
        <w:t>Pro všechna měřicí místa elektrizační soustavy je v záležitosti fakturačního měření jednotně zaveden od 1. listopadu 2001 platný čas. Základn</w:t>
      </w:r>
      <w:r w:rsidRPr="007F7C70">
        <w:rPr>
          <w:lang w:val="cs-CZ"/>
        </w:rPr>
        <w:t>ím měřicím intervalem (měřicí periodou) je u průběhového měření jedna čtvrthodina. Používá se pro zjišťování hodnoty energie nebo střední hodnoty výkonu, např. při zjišťování průběhu zatížení. Základní vyhodnocovací interval pro průběhové měření je jedna h</w:t>
      </w:r>
      <w:r w:rsidRPr="007F7C70">
        <w:rPr>
          <w:lang w:val="cs-CZ"/>
        </w:rPr>
        <w:t>odina. Podrobnější údaje jsou stanoveny v [2] včetně údajů o synchronizaci.</w:t>
      </w:r>
    </w:p>
    <w:p w:rsidR="00F363D7" w:rsidRPr="007F7C70" w:rsidRDefault="00F363D7">
      <w:pPr>
        <w:pStyle w:val="Zkladntext"/>
        <w:spacing w:before="9"/>
        <w:rPr>
          <w:sz w:val="31"/>
          <w:lang w:val="cs-CZ"/>
        </w:rPr>
      </w:pPr>
    </w:p>
    <w:p w:rsidR="00F363D7" w:rsidRPr="007F7C70" w:rsidRDefault="00FD5698">
      <w:pPr>
        <w:pStyle w:val="Nadpis2"/>
        <w:numPr>
          <w:ilvl w:val="1"/>
          <w:numId w:val="3"/>
        </w:numPr>
        <w:tabs>
          <w:tab w:val="left" w:pos="691"/>
          <w:tab w:val="left" w:pos="692"/>
        </w:tabs>
        <w:rPr>
          <w:lang w:val="cs-CZ"/>
        </w:rPr>
      </w:pPr>
      <w:bookmarkStart w:id="7" w:name="_TOC_250022"/>
      <w:r w:rsidRPr="007F7C70">
        <w:rPr>
          <w:lang w:val="cs-CZ"/>
        </w:rPr>
        <w:t>Střední hodnota</w:t>
      </w:r>
      <w:r w:rsidRPr="007F7C70">
        <w:rPr>
          <w:spacing w:val="-1"/>
          <w:lang w:val="cs-CZ"/>
        </w:rPr>
        <w:t xml:space="preserve"> </w:t>
      </w:r>
      <w:bookmarkEnd w:id="7"/>
      <w:r w:rsidRPr="007F7C70">
        <w:rPr>
          <w:lang w:val="cs-CZ"/>
        </w:rPr>
        <w:t>výkonu</w:t>
      </w:r>
    </w:p>
    <w:p w:rsidR="00F363D7" w:rsidRPr="007F7C70" w:rsidRDefault="00FD5698">
      <w:pPr>
        <w:pStyle w:val="Zkladntext"/>
        <w:spacing w:before="107"/>
        <w:ind w:left="547"/>
        <w:jc w:val="both"/>
        <w:rPr>
          <w:lang w:val="cs-CZ"/>
        </w:rPr>
      </w:pPr>
      <w:r w:rsidRPr="007F7C70">
        <w:rPr>
          <w:lang w:val="cs-CZ"/>
        </w:rPr>
        <w:t>Je to množství naměřené elektřiny vztažené na měřicí periodu [kWh/</w:t>
      </w:r>
      <w:proofErr w:type="spellStart"/>
      <w:r w:rsidRPr="007F7C70">
        <w:rPr>
          <w:lang w:val="cs-CZ"/>
        </w:rPr>
        <w:t>t</w:t>
      </w:r>
      <w:r w:rsidRPr="007F7C70">
        <w:rPr>
          <w:vertAlign w:val="subscript"/>
          <w:lang w:val="cs-CZ"/>
        </w:rPr>
        <w:t>m</w:t>
      </w:r>
      <w:proofErr w:type="spellEnd"/>
      <w:r w:rsidRPr="007F7C70">
        <w:rPr>
          <w:lang w:val="cs-CZ"/>
        </w:rPr>
        <w:t>].</w:t>
      </w:r>
    </w:p>
    <w:p w:rsidR="00F363D7" w:rsidRPr="007F7C70" w:rsidRDefault="00F363D7">
      <w:pPr>
        <w:pStyle w:val="Zkladntext"/>
        <w:spacing w:before="9"/>
        <w:rPr>
          <w:sz w:val="31"/>
          <w:lang w:val="cs-CZ"/>
        </w:rPr>
      </w:pPr>
    </w:p>
    <w:p w:rsidR="00F363D7" w:rsidRPr="007F7C70" w:rsidRDefault="00FD5698">
      <w:pPr>
        <w:pStyle w:val="Nadpis2"/>
        <w:numPr>
          <w:ilvl w:val="1"/>
          <w:numId w:val="3"/>
        </w:numPr>
        <w:tabs>
          <w:tab w:val="left" w:pos="691"/>
          <w:tab w:val="left" w:pos="692"/>
        </w:tabs>
        <w:rPr>
          <w:lang w:val="cs-CZ"/>
        </w:rPr>
      </w:pPr>
      <w:bookmarkStart w:id="8" w:name="_TOC_250021"/>
      <w:r w:rsidRPr="007F7C70">
        <w:rPr>
          <w:lang w:val="cs-CZ"/>
        </w:rPr>
        <w:t>Jednofázové výrobny, připojené do LDS třífázovou</w:t>
      </w:r>
      <w:r w:rsidRPr="007F7C70">
        <w:rPr>
          <w:spacing w:val="-1"/>
          <w:lang w:val="cs-CZ"/>
        </w:rPr>
        <w:t xml:space="preserve"> </w:t>
      </w:r>
      <w:bookmarkEnd w:id="8"/>
      <w:r w:rsidRPr="007F7C70">
        <w:rPr>
          <w:lang w:val="cs-CZ"/>
        </w:rPr>
        <w:t>přípojkou</w:t>
      </w:r>
    </w:p>
    <w:p w:rsidR="00F363D7" w:rsidRPr="007F7C70" w:rsidRDefault="00FD5698">
      <w:pPr>
        <w:pStyle w:val="Zkladntext"/>
        <w:spacing w:before="104"/>
        <w:ind w:left="547" w:right="169"/>
        <w:jc w:val="both"/>
        <w:rPr>
          <w:lang w:val="cs-CZ"/>
        </w:rPr>
      </w:pPr>
      <w:r w:rsidRPr="007F7C70">
        <w:rPr>
          <w:lang w:val="cs-CZ"/>
        </w:rPr>
        <w:t xml:space="preserve">U výroben, připojených k distribuční soustavě třífázovou přípojkou, může docházet k asymetrickým tokům elektrické energie (dle [2]), zejména u jednofázových výroben. Volí se proto takové nastavení </w:t>
      </w:r>
      <w:r w:rsidRPr="007F7C70">
        <w:rPr>
          <w:lang w:val="cs-CZ"/>
        </w:rPr>
        <w:t>elektroměru, kdy elektroměr vyhodnocuje směry toku v každé fázi samostatně, a poté příslušné fázové veličiny sečte a přiřadí do registrů (ev. zátěžových profilů):</w:t>
      </w:r>
    </w:p>
    <w:p w:rsidR="00F363D7" w:rsidRPr="007F7C70" w:rsidRDefault="00F363D7">
      <w:pPr>
        <w:pStyle w:val="Zkladntext"/>
        <w:rPr>
          <w:lang w:val="cs-CZ"/>
        </w:rPr>
      </w:pPr>
    </w:p>
    <w:p w:rsidR="00F363D7" w:rsidRPr="007F7C70" w:rsidRDefault="00FD5698">
      <w:pPr>
        <w:pStyle w:val="Zkladntext"/>
        <w:spacing w:before="1"/>
        <w:ind w:left="548" w:right="6452"/>
        <w:rPr>
          <w:lang w:val="cs-CZ"/>
        </w:rPr>
      </w:pPr>
      <w:r w:rsidRPr="007F7C70">
        <w:rPr>
          <w:lang w:val="cs-CZ"/>
        </w:rPr>
        <w:t xml:space="preserve">registr +P = SUMA </w:t>
      </w:r>
      <w:proofErr w:type="spellStart"/>
      <w:r w:rsidRPr="007F7C70">
        <w:rPr>
          <w:lang w:val="cs-CZ"/>
        </w:rPr>
        <w:t>Pn</w:t>
      </w:r>
      <w:proofErr w:type="spellEnd"/>
      <w:r w:rsidRPr="007F7C70">
        <w:rPr>
          <w:lang w:val="cs-CZ"/>
        </w:rPr>
        <w:t xml:space="preserve">+ </w:t>
      </w:r>
      <w:proofErr w:type="gramStart"/>
      <w:r w:rsidRPr="007F7C70">
        <w:rPr>
          <w:lang w:val="cs-CZ"/>
        </w:rPr>
        <w:t>registr -P</w:t>
      </w:r>
      <w:proofErr w:type="gramEnd"/>
      <w:r w:rsidRPr="007F7C70">
        <w:rPr>
          <w:lang w:val="cs-CZ"/>
        </w:rPr>
        <w:t xml:space="preserve"> = SUMA </w:t>
      </w:r>
      <w:proofErr w:type="spellStart"/>
      <w:r w:rsidRPr="007F7C70">
        <w:rPr>
          <w:lang w:val="cs-CZ"/>
        </w:rPr>
        <w:t>Pn</w:t>
      </w:r>
      <w:proofErr w:type="spellEnd"/>
      <w:r w:rsidRPr="007F7C70">
        <w:rPr>
          <w:lang w:val="cs-CZ"/>
        </w:rPr>
        <w:t>-</w:t>
      </w:r>
    </w:p>
    <w:p w:rsidR="00F363D7" w:rsidRPr="007F7C70" w:rsidRDefault="00F363D7">
      <w:pPr>
        <w:pStyle w:val="Zkladntext"/>
        <w:spacing w:before="11"/>
        <w:rPr>
          <w:sz w:val="23"/>
          <w:lang w:val="cs-CZ"/>
        </w:rPr>
      </w:pPr>
    </w:p>
    <w:p w:rsidR="00F363D7" w:rsidRPr="007F7C70" w:rsidRDefault="00FD5698">
      <w:pPr>
        <w:pStyle w:val="Zkladntext"/>
        <w:ind w:left="547" w:right="166"/>
        <w:jc w:val="both"/>
        <w:rPr>
          <w:lang w:val="cs-CZ"/>
        </w:rPr>
      </w:pPr>
      <w:r w:rsidRPr="007F7C70">
        <w:rPr>
          <w:lang w:val="cs-CZ"/>
        </w:rPr>
        <w:t>Toto nastavení se provádí u nově osazovaných ne</w:t>
      </w:r>
      <w:r w:rsidRPr="007F7C70">
        <w:rPr>
          <w:lang w:val="cs-CZ"/>
        </w:rPr>
        <w:t>bo měněných měřidel v předávacím místě výrobny elektřiny připojené k distribuční soustavě a v odběrném místě, do něhož je připojena výrobna.</w:t>
      </w:r>
    </w:p>
    <w:p w:rsidR="00F363D7" w:rsidRPr="007F7C70" w:rsidRDefault="00F363D7">
      <w:pPr>
        <w:pStyle w:val="Zkladntext"/>
        <w:rPr>
          <w:sz w:val="26"/>
          <w:lang w:val="cs-CZ"/>
        </w:rPr>
      </w:pPr>
    </w:p>
    <w:p w:rsidR="00F363D7" w:rsidRPr="007F7C70" w:rsidRDefault="00FD5698">
      <w:pPr>
        <w:pStyle w:val="Nadpis1"/>
        <w:numPr>
          <w:ilvl w:val="0"/>
          <w:numId w:val="3"/>
        </w:numPr>
        <w:tabs>
          <w:tab w:val="left" w:pos="547"/>
          <w:tab w:val="left" w:pos="548"/>
        </w:tabs>
        <w:spacing w:before="186"/>
        <w:rPr>
          <w:lang w:val="cs-CZ"/>
        </w:rPr>
      </w:pPr>
      <w:bookmarkStart w:id="9" w:name="_TOC_250020"/>
      <w:r w:rsidRPr="007F7C70">
        <w:rPr>
          <w:lang w:val="cs-CZ"/>
        </w:rPr>
        <w:t>Technické</w:t>
      </w:r>
      <w:r w:rsidRPr="007F7C70">
        <w:rPr>
          <w:spacing w:val="-2"/>
          <w:lang w:val="cs-CZ"/>
        </w:rPr>
        <w:t xml:space="preserve"> </w:t>
      </w:r>
      <w:bookmarkEnd w:id="9"/>
      <w:r w:rsidRPr="007F7C70">
        <w:rPr>
          <w:lang w:val="cs-CZ"/>
        </w:rPr>
        <w:t>požadavky</w:t>
      </w:r>
    </w:p>
    <w:p w:rsidR="00F363D7" w:rsidRPr="007F7C70" w:rsidRDefault="00FD5698">
      <w:pPr>
        <w:pStyle w:val="Zkladntext"/>
        <w:spacing w:before="227"/>
        <w:ind w:left="116" w:right="366"/>
        <w:rPr>
          <w:lang w:val="cs-CZ"/>
        </w:rPr>
      </w:pPr>
      <w:r w:rsidRPr="007F7C70">
        <w:rPr>
          <w:lang w:val="cs-CZ"/>
        </w:rPr>
        <w:t>Vedle všeobecných požadavků, uvedených zejména v odstavci 1.3, musí měřicí zařízení splňovat i</w:t>
      </w:r>
      <w:r w:rsidRPr="007F7C70">
        <w:rPr>
          <w:lang w:val="cs-CZ"/>
        </w:rPr>
        <w:t xml:space="preserve"> další minimální technické požadavky, z nichž některé jsou popsány v [2]. Druh měřicího zařízení, způsob jeho instalace a umístění jsou pro jednodušší případy obsaženy ve standardech </w:t>
      </w:r>
      <w:r w:rsidRPr="007F7C70">
        <w:rPr>
          <w:b/>
          <w:lang w:val="cs-CZ"/>
        </w:rPr>
        <w:t>PLDS</w:t>
      </w:r>
      <w:r w:rsidRPr="007F7C70">
        <w:rPr>
          <w:lang w:val="cs-CZ"/>
        </w:rPr>
        <w:t>. V zásadě platí, že měřicí zařízení se umisťuje do odběrného zařízen</w:t>
      </w:r>
      <w:r w:rsidRPr="007F7C70">
        <w:rPr>
          <w:lang w:val="cs-CZ"/>
        </w:rPr>
        <w:t xml:space="preserve">í zákazníka nebo do rozvodného zařízení výrobny co nejblíže k místu rozhraní s </w:t>
      </w:r>
      <w:r w:rsidRPr="007F7C70">
        <w:rPr>
          <w:b/>
          <w:lang w:val="cs-CZ"/>
        </w:rPr>
        <w:t>LDS</w:t>
      </w:r>
      <w:r w:rsidRPr="007F7C70">
        <w:rPr>
          <w:lang w:val="cs-CZ"/>
        </w:rPr>
        <w:t xml:space="preserve">. Minimální požadavky na měřicí zařízení stanovuje </w:t>
      </w:r>
      <w:r w:rsidRPr="007F7C70">
        <w:rPr>
          <w:b/>
          <w:lang w:val="cs-CZ"/>
        </w:rPr>
        <w:t xml:space="preserve">PLDS </w:t>
      </w:r>
      <w:r w:rsidRPr="007F7C70">
        <w:rPr>
          <w:lang w:val="cs-CZ"/>
        </w:rPr>
        <w:t>v souladu s těmito pravidly.</w:t>
      </w:r>
    </w:p>
    <w:p w:rsidR="00F363D7" w:rsidRPr="007F7C70" w:rsidRDefault="00FD5698">
      <w:pPr>
        <w:pStyle w:val="Zkladntext"/>
        <w:ind w:left="115" w:right="309"/>
        <w:jc w:val="both"/>
        <w:rPr>
          <w:lang w:val="cs-CZ"/>
        </w:rPr>
      </w:pPr>
      <w:r w:rsidRPr="007F7C70">
        <w:rPr>
          <w:lang w:val="cs-CZ"/>
        </w:rPr>
        <w:t xml:space="preserve">Projektová dokumentace obsahuje řešení a způsob umístění měřicího zařízení, u měření typu A </w:t>
      </w:r>
      <w:proofErr w:type="spellStart"/>
      <w:r w:rsidRPr="007F7C70">
        <w:rPr>
          <w:lang w:val="cs-CZ"/>
        </w:rPr>
        <w:t>a</w:t>
      </w:r>
      <w:proofErr w:type="spellEnd"/>
      <w:r w:rsidRPr="007F7C70">
        <w:rPr>
          <w:lang w:val="cs-CZ"/>
        </w:rPr>
        <w:t xml:space="preserve"> B musí být odsouhlasena příslušným PLDS. Způsob umístění měřicího zařízení musí být uveden ve smlouvě o připojení.</w:t>
      </w:r>
    </w:p>
    <w:p w:rsidR="00F363D7" w:rsidRPr="007F7C70" w:rsidRDefault="00F363D7">
      <w:pPr>
        <w:jc w:val="both"/>
        <w:rPr>
          <w:lang w:val="cs-CZ"/>
        </w:rPr>
        <w:sectPr w:rsidR="00F363D7" w:rsidRPr="007F7C70">
          <w:pgSz w:w="11900" w:h="16840"/>
          <w:pgMar w:top="1040" w:right="1240" w:bottom="1220" w:left="1300" w:header="0" w:footer="1037" w:gutter="0"/>
          <w:cols w:space="708"/>
        </w:sectPr>
      </w:pPr>
    </w:p>
    <w:p w:rsidR="00F363D7" w:rsidRPr="007F7C70" w:rsidRDefault="00FD5698">
      <w:pPr>
        <w:pStyle w:val="Zkladntext"/>
        <w:spacing w:before="64"/>
        <w:ind w:left="547" w:right="111"/>
        <w:jc w:val="both"/>
        <w:rPr>
          <w:lang w:val="cs-CZ"/>
        </w:rPr>
      </w:pPr>
      <w:r w:rsidRPr="007F7C70">
        <w:rPr>
          <w:lang w:val="cs-CZ"/>
        </w:rPr>
        <w:lastRenderedPageBreak/>
        <w:t>Druh a způsob technického řeš</w:t>
      </w:r>
      <w:r w:rsidRPr="007F7C70">
        <w:rPr>
          <w:lang w:val="cs-CZ"/>
        </w:rPr>
        <w:t>ení měřícího místa je příslušným provozovatelem LDS dále upřesněn v připojovacích podmínkách.</w:t>
      </w:r>
    </w:p>
    <w:p w:rsidR="00F363D7" w:rsidRPr="007F7C70" w:rsidRDefault="00F363D7">
      <w:pPr>
        <w:pStyle w:val="Zkladntext"/>
        <w:rPr>
          <w:sz w:val="26"/>
          <w:lang w:val="cs-CZ"/>
        </w:rPr>
      </w:pPr>
    </w:p>
    <w:p w:rsidR="00F363D7" w:rsidRPr="007F7C70" w:rsidRDefault="00F363D7">
      <w:pPr>
        <w:pStyle w:val="Zkladntext"/>
        <w:spacing w:before="10"/>
        <w:rPr>
          <w:sz w:val="29"/>
          <w:lang w:val="cs-CZ"/>
        </w:rPr>
      </w:pPr>
    </w:p>
    <w:p w:rsidR="00F363D7" w:rsidRPr="007F7C70" w:rsidRDefault="00FD5698">
      <w:pPr>
        <w:pStyle w:val="Nadpis2"/>
        <w:numPr>
          <w:ilvl w:val="1"/>
          <w:numId w:val="3"/>
        </w:numPr>
        <w:tabs>
          <w:tab w:val="left" w:pos="691"/>
          <w:tab w:val="left" w:pos="692"/>
        </w:tabs>
        <w:rPr>
          <w:lang w:val="cs-CZ"/>
        </w:rPr>
      </w:pPr>
      <w:bookmarkStart w:id="10" w:name="_TOC_250019"/>
      <w:r w:rsidRPr="007F7C70">
        <w:rPr>
          <w:lang w:val="cs-CZ"/>
        </w:rPr>
        <w:t>Druhy</w:t>
      </w:r>
      <w:r w:rsidRPr="007F7C70">
        <w:rPr>
          <w:spacing w:val="-1"/>
          <w:lang w:val="cs-CZ"/>
        </w:rPr>
        <w:t xml:space="preserve"> </w:t>
      </w:r>
      <w:bookmarkEnd w:id="10"/>
      <w:r w:rsidRPr="007F7C70">
        <w:rPr>
          <w:lang w:val="cs-CZ"/>
        </w:rPr>
        <w:t>měření</w:t>
      </w:r>
    </w:p>
    <w:p w:rsidR="00F363D7" w:rsidRPr="007F7C70" w:rsidRDefault="00FD5698">
      <w:pPr>
        <w:pStyle w:val="Zkladntext"/>
        <w:spacing w:before="106"/>
        <w:ind w:left="547" w:right="167"/>
        <w:jc w:val="both"/>
        <w:rPr>
          <w:lang w:val="cs-CZ"/>
        </w:rPr>
      </w:pPr>
      <w:r w:rsidRPr="007F7C70">
        <w:rPr>
          <w:lang w:val="cs-CZ"/>
        </w:rPr>
        <w:t>Základní součástí každého měřicího zařízení je elektroměr sloužící k měření činné nebo činné a jalové elektrické energie. Jestliže elektroměrem přímo prochází veškerá měřená energie, mluvíme o tzv. přímém měření. Pro měření větších množství energie se musí</w:t>
      </w:r>
      <w:r w:rsidRPr="007F7C70">
        <w:rPr>
          <w:lang w:val="cs-CZ"/>
        </w:rPr>
        <w:t xml:space="preserve"> používat měřicí transformátory. V tomto případě se jedná o tzv. převodové měření. U převodového měření v síti </w:t>
      </w:r>
      <w:proofErr w:type="spellStart"/>
      <w:r w:rsidRPr="007F7C70">
        <w:rPr>
          <w:lang w:val="cs-CZ"/>
        </w:rPr>
        <w:t>nn</w:t>
      </w:r>
      <w:proofErr w:type="spellEnd"/>
      <w:r w:rsidRPr="007F7C70">
        <w:rPr>
          <w:lang w:val="cs-CZ"/>
        </w:rPr>
        <w:t xml:space="preserve"> se používají jen proudové měřicí transformátory. U měření v síti </w:t>
      </w:r>
      <w:proofErr w:type="spellStart"/>
      <w:r w:rsidRPr="007F7C70">
        <w:rPr>
          <w:lang w:val="cs-CZ"/>
        </w:rPr>
        <w:t>vn</w:t>
      </w:r>
      <w:proofErr w:type="spellEnd"/>
      <w:r w:rsidRPr="007F7C70">
        <w:rPr>
          <w:lang w:val="cs-CZ"/>
        </w:rPr>
        <w:t xml:space="preserve"> se používají jak proudové, tak i napěťové měřicí transformátory. Podle toh</w:t>
      </w:r>
      <w:r w:rsidRPr="007F7C70">
        <w:rPr>
          <w:lang w:val="cs-CZ"/>
        </w:rPr>
        <w:t xml:space="preserve">o, na kterou stranu příslušného napájecího (“silového”) transformátoru jsou měřicí transformátory připojeny, mluvíme o tzv. primárním nebo sekundárním měření. Úkolem měřicích transformátorů je převádět primární veličiny (proud a napětí) z hlediska hodnoty </w:t>
      </w:r>
      <w:r w:rsidRPr="007F7C70">
        <w:rPr>
          <w:lang w:val="cs-CZ"/>
        </w:rPr>
        <w:t>a úhlu na sekundární veličiny. Poměr mezi primárními veličinami a sekundárními veličinami vyjadřuje převod měřicího transformátoru (převodový poměr). Elektroměr použitý v převodovém měření může být zkonstruován, nebo uživatelsky nastaven pro vykazování buď</w:t>
      </w:r>
      <w:r w:rsidRPr="007F7C70">
        <w:rPr>
          <w:lang w:val="cs-CZ"/>
        </w:rPr>
        <w:t>to v sekundárních, nebo přímo v primárních hodnotách energie a výkonu. Pro zjištění skutečné hodnoty je nutné údaje elektroměru násobit příslušnou konstantou (násobitelem). Podrobnosti k jednotlivým druhům měření a jejich použití v praxi stanovují standard</w:t>
      </w:r>
      <w:r w:rsidRPr="007F7C70">
        <w:rPr>
          <w:lang w:val="cs-CZ"/>
        </w:rPr>
        <w:t>y</w:t>
      </w:r>
      <w:r w:rsidRPr="007F7C70">
        <w:rPr>
          <w:spacing w:val="-5"/>
          <w:lang w:val="cs-CZ"/>
        </w:rPr>
        <w:t xml:space="preserve"> </w:t>
      </w:r>
      <w:r w:rsidRPr="007F7C70">
        <w:rPr>
          <w:lang w:val="cs-CZ"/>
        </w:rPr>
        <w:t>PLDS.</w:t>
      </w:r>
    </w:p>
    <w:p w:rsidR="00F363D7" w:rsidRPr="007F7C70" w:rsidRDefault="00F363D7">
      <w:pPr>
        <w:pStyle w:val="Zkladntext"/>
        <w:spacing w:before="10"/>
        <w:rPr>
          <w:sz w:val="31"/>
          <w:lang w:val="cs-CZ"/>
        </w:rPr>
      </w:pPr>
    </w:p>
    <w:p w:rsidR="00F363D7" w:rsidRPr="007F7C70" w:rsidRDefault="00FD5698">
      <w:pPr>
        <w:pStyle w:val="Nadpis2"/>
        <w:numPr>
          <w:ilvl w:val="1"/>
          <w:numId w:val="3"/>
        </w:numPr>
        <w:tabs>
          <w:tab w:val="left" w:pos="811"/>
          <w:tab w:val="left" w:pos="812"/>
        </w:tabs>
        <w:ind w:left="812" w:hanging="696"/>
        <w:rPr>
          <w:lang w:val="cs-CZ"/>
        </w:rPr>
      </w:pPr>
      <w:bookmarkStart w:id="11" w:name="_TOC_250018"/>
      <w:bookmarkEnd w:id="11"/>
      <w:r w:rsidRPr="007F7C70">
        <w:rPr>
          <w:lang w:val="cs-CZ"/>
        </w:rPr>
        <w:t>Druhy měřicích zařízení</w:t>
      </w:r>
    </w:p>
    <w:p w:rsidR="00F363D7" w:rsidRPr="007F7C70" w:rsidRDefault="00FD5698">
      <w:pPr>
        <w:pStyle w:val="Zkladntext"/>
        <w:spacing w:before="104"/>
        <w:ind w:left="547" w:right="168"/>
        <w:jc w:val="both"/>
        <w:rPr>
          <w:lang w:val="cs-CZ"/>
        </w:rPr>
      </w:pPr>
      <w:r w:rsidRPr="007F7C70">
        <w:rPr>
          <w:lang w:val="cs-CZ"/>
        </w:rPr>
        <w:t xml:space="preserve">Pro měření množství elektřiny (elektrické práce a středních hodnot výkonu) se používají následující způsoby měření stanovené </w:t>
      </w:r>
      <w:proofErr w:type="gramStart"/>
      <w:r w:rsidRPr="007F7C70">
        <w:rPr>
          <w:lang w:val="cs-CZ"/>
        </w:rPr>
        <w:t>v[</w:t>
      </w:r>
      <w:proofErr w:type="gramEnd"/>
      <w:r w:rsidRPr="007F7C70">
        <w:rPr>
          <w:lang w:val="cs-CZ"/>
        </w:rPr>
        <w:t>2]:</w:t>
      </w:r>
    </w:p>
    <w:p w:rsidR="00F363D7" w:rsidRPr="007F7C70" w:rsidRDefault="00FD5698">
      <w:pPr>
        <w:pStyle w:val="Odstavecseseznamem"/>
        <w:numPr>
          <w:ilvl w:val="0"/>
          <w:numId w:val="2"/>
        </w:numPr>
        <w:tabs>
          <w:tab w:val="left" w:pos="824"/>
        </w:tabs>
        <w:ind w:hanging="275"/>
        <w:rPr>
          <w:sz w:val="24"/>
          <w:lang w:val="cs-CZ"/>
        </w:rPr>
      </w:pPr>
      <w:r w:rsidRPr="007F7C70">
        <w:rPr>
          <w:sz w:val="24"/>
          <w:lang w:val="cs-CZ"/>
        </w:rPr>
        <w:t>měření typu A (průběhové měření elektřiny s dálkovým denním přenosem</w:t>
      </w:r>
      <w:r w:rsidRPr="007F7C70">
        <w:rPr>
          <w:spacing w:val="-10"/>
          <w:sz w:val="24"/>
          <w:lang w:val="cs-CZ"/>
        </w:rPr>
        <w:t xml:space="preserve"> </w:t>
      </w:r>
      <w:r w:rsidRPr="007F7C70">
        <w:rPr>
          <w:sz w:val="24"/>
          <w:lang w:val="cs-CZ"/>
        </w:rPr>
        <w:t>údajů)</w:t>
      </w:r>
    </w:p>
    <w:p w:rsidR="00F363D7" w:rsidRPr="007F7C70" w:rsidRDefault="00FD5698">
      <w:pPr>
        <w:pStyle w:val="Odstavecseseznamem"/>
        <w:numPr>
          <w:ilvl w:val="0"/>
          <w:numId w:val="2"/>
        </w:numPr>
        <w:tabs>
          <w:tab w:val="left" w:pos="824"/>
        </w:tabs>
        <w:ind w:left="548" w:right="173" w:firstLine="0"/>
        <w:jc w:val="both"/>
        <w:rPr>
          <w:sz w:val="24"/>
          <w:lang w:val="cs-CZ"/>
        </w:rPr>
      </w:pPr>
      <w:r w:rsidRPr="007F7C70">
        <w:rPr>
          <w:sz w:val="24"/>
          <w:lang w:val="cs-CZ"/>
        </w:rPr>
        <w:t>měření typu B (p</w:t>
      </w:r>
      <w:r w:rsidRPr="007F7C70">
        <w:rPr>
          <w:sz w:val="24"/>
          <w:lang w:val="cs-CZ"/>
        </w:rPr>
        <w:t>růběhové měření elektřiny s dálkovým jiným než denním přenosem údajů)</w:t>
      </w:r>
    </w:p>
    <w:p w:rsidR="00F363D7" w:rsidRPr="007F7C70" w:rsidRDefault="00FD5698">
      <w:pPr>
        <w:pStyle w:val="Odstavecseseznamem"/>
        <w:numPr>
          <w:ilvl w:val="0"/>
          <w:numId w:val="2"/>
        </w:numPr>
        <w:tabs>
          <w:tab w:val="left" w:pos="824"/>
        </w:tabs>
        <w:spacing w:before="1"/>
        <w:ind w:left="548" w:right="167" w:firstLine="0"/>
        <w:jc w:val="both"/>
        <w:rPr>
          <w:sz w:val="24"/>
          <w:lang w:val="cs-CZ"/>
        </w:rPr>
      </w:pPr>
      <w:r w:rsidRPr="007F7C70">
        <w:rPr>
          <w:sz w:val="24"/>
          <w:lang w:val="cs-CZ"/>
        </w:rPr>
        <w:t>měření typu M (průběhové měření elektřiny s dálkovým přenosem údajů, průběžný záznam střední hodnoty činného výkonu provádí přímo měřicí</w:t>
      </w:r>
      <w:r w:rsidRPr="007F7C70">
        <w:rPr>
          <w:spacing w:val="-6"/>
          <w:sz w:val="24"/>
          <w:lang w:val="cs-CZ"/>
        </w:rPr>
        <w:t xml:space="preserve"> </w:t>
      </w:r>
      <w:r w:rsidRPr="007F7C70">
        <w:rPr>
          <w:sz w:val="24"/>
          <w:lang w:val="cs-CZ"/>
        </w:rPr>
        <w:t>zařízení)</w:t>
      </w:r>
    </w:p>
    <w:p w:rsidR="00F363D7" w:rsidRPr="007F7C70" w:rsidRDefault="00FD5698">
      <w:pPr>
        <w:pStyle w:val="Odstavecseseznamem"/>
        <w:numPr>
          <w:ilvl w:val="0"/>
          <w:numId w:val="2"/>
        </w:numPr>
        <w:tabs>
          <w:tab w:val="left" w:pos="824"/>
        </w:tabs>
        <w:ind w:left="548" w:right="173" w:firstLine="50"/>
        <w:jc w:val="both"/>
        <w:rPr>
          <w:sz w:val="24"/>
          <w:lang w:val="cs-CZ"/>
        </w:rPr>
      </w:pPr>
      <w:r w:rsidRPr="007F7C70">
        <w:rPr>
          <w:sz w:val="24"/>
          <w:lang w:val="cs-CZ"/>
        </w:rPr>
        <w:t>Měření typu C (ostatní měření elektřiny</w:t>
      </w:r>
      <w:r w:rsidRPr="007F7C70">
        <w:rPr>
          <w:sz w:val="24"/>
          <w:lang w:val="cs-CZ"/>
        </w:rPr>
        <w:t>, není průběhové, může být s dálkovým přenosem</w:t>
      </w:r>
      <w:r w:rsidRPr="007F7C70">
        <w:rPr>
          <w:spacing w:val="-1"/>
          <w:sz w:val="24"/>
          <w:lang w:val="cs-CZ"/>
        </w:rPr>
        <w:t xml:space="preserve"> </w:t>
      </w:r>
      <w:r w:rsidRPr="007F7C70">
        <w:rPr>
          <w:sz w:val="24"/>
          <w:lang w:val="cs-CZ"/>
        </w:rPr>
        <w:t>údajů)</w:t>
      </w:r>
    </w:p>
    <w:p w:rsidR="00F363D7" w:rsidRPr="007F7C70" w:rsidRDefault="00F363D7">
      <w:pPr>
        <w:pStyle w:val="Zkladntext"/>
        <w:spacing w:before="11"/>
        <w:rPr>
          <w:sz w:val="23"/>
          <w:lang w:val="cs-CZ"/>
        </w:rPr>
      </w:pPr>
    </w:p>
    <w:p w:rsidR="00F363D7" w:rsidRPr="007F7C70" w:rsidRDefault="00FD5698">
      <w:pPr>
        <w:pStyle w:val="Zkladntext"/>
        <w:ind w:left="547" w:right="162"/>
        <w:jc w:val="both"/>
        <w:rPr>
          <w:lang w:val="cs-CZ"/>
        </w:rPr>
      </w:pPr>
      <w:r w:rsidRPr="007F7C70">
        <w:rPr>
          <w:lang w:val="cs-CZ"/>
        </w:rPr>
        <w:t xml:space="preserve">Průběhové měření je takové měření, při kterém je kontinuálně zaznamenávána střední hodnota výkonu za měřicí interval. Měřicím zařízením může </w:t>
      </w:r>
      <w:r w:rsidRPr="007F7C70">
        <w:rPr>
          <w:spacing w:val="-2"/>
          <w:lang w:val="cs-CZ"/>
        </w:rPr>
        <w:t xml:space="preserve">být </w:t>
      </w:r>
      <w:r w:rsidRPr="007F7C70">
        <w:rPr>
          <w:lang w:val="cs-CZ"/>
        </w:rPr>
        <w:t>buď samotný elektroměr, nebo elektroměr s externě připojeným registračním přístrojem. Může se jednat i o kombin</w:t>
      </w:r>
      <w:r w:rsidRPr="007F7C70">
        <w:rPr>
          <w:lang w:val="cs-CZ"/>
        </w:rPr>
        <w:t>aci měření průběhového s měřením ostatním, tzn., že jsou současně využívány příslušné registry (číselníky) energie a výkonu, jak tarifní, tak i sumární. Registry mohou být nastaveny pro zobrazování stavů (kumulativní nárůst), anebo rovnou pro zobrazování s</w:t>
      </w:r>
      <w:r w:rsidRPr="007F7C70">
        <w:rPr>
          <w:lang w:val="cs-CZ"/>
        </w:rPr>
        <w:t>potřeby (rozdíl stavů) v daném účtovacím období. Vždy záleží na konkrétním použitém přístroji (elektroměru) a možnostech jeho uživatelského nastavení, které provádí příslušný</w:t>
      </w:r>
      <w:r w:rsidRPr="007F7C70">
        <w:rPr>
          <w:spacing w:val="-7"/>
          <w:lang w:val="cs-CZ"/>
        </w:rPr>
        <w:t xml:space="preserve"> </w:t>
      </w:r>
      <w:r w:rsidRPr="007F7C70">
        <w:rPr>
          <w:lang w:val="cs-CZ"/>
        </w:rPr>
        <w:t>PLDS.</w:t>
      </w:r>
    </w:p>
    <w:p w:rsidR="00F363D7" w:rsidRPr="007F7C70" w:rsidRDefault="00FD5698">
      <w:pPr>
        <w:pStyle w:val="Zkladntext"/>
        <w:ind w:left="548" w:right="169" w:hanging="1"/>
        <w:jc w:val="both"/>
        <w:rPr>
          <w:lang w:val="cs-CZ"/>
        </w:rPr>
      </w:pPr>
      <w:r w:rsidRPr="007F7C70">
        <w:rPr>
          <w:lang w:val="cs-CZ"/>
        </w:rPr>
        <w:t>Výrobce elektřiny využívající podporu formou zeleného bonusu zajišťuje samo</w:t>
      </w:r>
      <w:r w:rsidRPr="007F7C70">
        <w:rPr>
          <w:lang w:val="cs-CZ"/>
        </w:rPr>
        <w:t>statné měření vyrobené elektřiny dle [2].</w:t>
      </w:r>
    </w:p>
    <w:p w:rsidR="00F363D7" w:rsidRPr="007F7C70" w:rsidRDefault="00FD5698">
      <w:pPr>
        <w:pStyle w:val="Zkladntext"/>
        <w:ind w:left="547" w:right="168"/>
        <w:jc w:val="both"/>
        <w:rPr>
          <w:lang w:val="cs-CZ"/>
        </w:rPr>
      </w:pPr>
      <w:r w:rsidRPr="007F7C70">
        <w:rPr>
          <w:lang w:val="cs-CZ"/>
        </w:rPr>
        <w:t>Dálkový odečet s přenosem naměřených dat do centra, odečet pomocí ručního terminálu i ruční odečet zajišťuje a konkrétní způsob odečtu určuje příslušný PLDS.</w:t>
      </w:r>
    </w:p>
    <w:p w:rsidR="00F363D7" w:rsidRPr="007F7C70" w:rsidRDefault="00F363D7">
      <w:pPr>
        <w:jc w:val="both"/>
        <w:rPr>
          <w:lang w:val="cs-CZ"/>
        </w:rPr>
        <w:sectPr w:rsidR="00F363D7" w:rsidRPr="007F7C70">
          <w:pgSz w:w="11900" w:h="16840"/>
          <w:pgMar w:top="1060" w:right="1240" w:bottom="1220" w:left="1300" w:header="0" w:footer="1037" w:gutter="0"/>
          <w:cols w:space="708"/>
        </w:sectPr>
      </w:pPr>
    </w:p>
    <w:p w:rsidR="00F363D7" w:rsidRPr="007F7C70" w:rsidRDefault="00FD5698">
      <w:pPr>
        <w:pStyle w:val="Nadpis2"/>
        <w:numPr>
          <w:ilvl w:val="1"/>
          <w:numId w:val="3"/>
        </w:numPr>
        <w:tabs>
          <w:tab w:val="left" w:pos="691"/>
          <w:tab w:val="left" w:pos="692"/>
        </w:tabs>
        <w:spacing w:before="70"/>
        <w:rPr>
          <w:lang w:val="cs-CZ"/>
        </w:rPr>
      </w:pPr>
      <w:bookmarkStart w:id="12" w:name="_TOC_250017"/>
      <w:r w:rsidRPr="007F7C70">
        <w:rPr>
          <w:lang w:val="cs-CZ"/>
        </w:rPr>
        <w:lastRenderedPageBreak/>
        <w:t>Vybavení měřicích</w:t>
      </w:r>
      <w:r w:rsidRPr="007F7C70">
        <w:rPr>
          <w:spacing w:val="2"/>
          <w:lang w:val="cs-CZ"/>
        </w:rPr>
        <w:t xml:space="preserve"> </w:t>
      </w:r>
      <w:bookmarkEnd w:id="12"/>
      <w:r w:rsidRPr="007F7C70">
        <w:rPr>
          <w:lang w:val="cs-CZ"/>
        </w:rPr>
        <w:t>míst</w:t>
      </w:r>
    </w:p>
    <w:p w:rsidR="00F363D7" w:rsidRPr="007F7C70" w:rsidRDefault="00FD5698">
      <w:pPr>
        <w:pStyle w:val="Zkladntext"/>
        <w:spacing w:before="107"/>
        <w:ind w:left="548" w:right="170" w:hanging="1"/>
        <w:jc w:val="both"/>
        <w:rPr>
          <w:lang w:val="cs-CZ"/>
        </w:rPr>
      </w:pPr>
      <w:r w:rsidRPr="007F7C70">
        <w:rPr>
          <w:lang w:val="cs-CZ"/>
        </w:rPr>
        <w:t>Vybavení měřicí</w:t>
      </w:r>
      <w:r w:rsidRPr="007F7C70">
        <w:rPr>
          <w:lang w:val="cs-CZ"/>
        </w:rPr>
        <w:t>ch míst s ohledem na typ měření (A, B, M, C) určuje [2], která pro stanovení konkrétního typu měření uplatňuje princip napěťové hladiny a velikosti odběru</w:t>
      </w:r>
    </w:p>
    <w:p w:rsidR="00F363D7" w:rsidRPr="007F7C70" w:rsidRDefault="00FD5698">
      <w:pPr>
        <w:pStyle w:val="Zkladntext"/>
        <w:ind w:left="548"/>
        <w:jc w:val="both"/>
        <w:rPr>
          <w:lang w:val="cs-CZ"/>
        </w:rPr>
      </w:pPr>
      <w:r w:rsidRPr="007F7C70">
        <w:rPr>
          <w:lang w:val="cs-CZ"/>
        </w:rPr>
        <w:t>/ dodávky, tj. instalovaného výkonu výrobny / rezervovaného příkonu zákazníka.</w:t>
      </w:r>
    </w:p>
    <w:p w:rsidR="00F363D7" w:rsidRPr="007F7C70" w:rsidRDefault="00F363D7">
      <w:pPr>
        <w:pStyle w:val="Zkladntext"/>
        <w:spacing w:before="9"/>
        <w:rPr>
          <w:sz w:val="31"/>
          <w:lang w:val="cs-CZ"/>
        </w:rPr>
      </w:pPr>
    </w:p>
    <w:p w:rsidR="00F363D7" w:rsidRPr="007F7C70" w:rsidRDefault="00FD5698">
      <w:pPr>
        <w:pStyle w:val="Nadpis2"/>
        <w:numPr>
          <w:ilvl w:val="1"/>
          <w:numId w:val="3"/>
        </w:numPr>
        <w:tabs>
          <w:tab w:val="left" w:pos="691"/>
          <w:tab w:val="left" w:pos="692"/>
        </w:tabs>
        <w:rPr>
          <w:lang w:val="cs-CZ"/>
        </w:rPr>
      </w:pPr>
      <w:bookmarkStart w:id="13" w:name="_TOC_250016"/>
      <w:r w:rsidRPr="007F7C70">
        <w:rPr>
          <w:lang w:val="cs-CZ"/>
        </w:rPr>
        <w:t>Třídy</w:t>
      </w:r>
      <w:r w:rsidRPr="007F7C70">
        <w:rPr>
          <w:spacing w:val="-1"/>
          <w:lang w:val="cs-CZ"/>
        </w:rPr>
        <w:t xml:space="preserve"> </w:t>
      </w:r>
      <w:bookmarkEnd w:id="13"/>
      <w:r w:rsidRPr="007F7C70">
        <w:rPr>
          <w:lang w:val="cs-CZ"/>
        </w:rPr>
        <w:t>přesnosti</w:t>
      </w:r>
    </w:p>
    <w:p w:rsidR="00F363D7" w:rsidRPr="007F7C70" w:rsidRDefault="00FD5698">
      <w:pPr>
        <w:pStyle w:val="Zkladntext"/>
        <w:spacing w:before="107"/>
        <w:ind w:left="547" w:right="169"/>
        <w:jc w:val="both"/>
        <w:rPr>
          <w:lang w:val="cs-CZ"/>
        </w:rPr>
      </w:pPr>
      <w:r w:rsidRPr="007F7C70">
        <w:rPr>
          <w:lang w:val="cs-CZ"/>
        </w:rPr>
        <w:t>Vyhlá</w:t>
      </w:r>
      <w:r w:rsidRPr="007F7C70">
        <w:rPr>
          <w:lang w:val="cs-CZ"/>
        </w:rPr>
        <w:t>ška [2] stanovuje též minimální požadavky na třídy přesnosti elektroměrů a měřicích transformátorů (Příloha č.1 vyhlášky). Obecně platí princip, že vyšší napěťové úrovni odpovídá i vyšší třída požadované přesnosti měřicích transformátorů a vyšší třída přes</w:t>
      </w:r>
      <w:r w:rsidRPr="007F7C70">
        <w:rPr>
          <w:lang w:val="cs-CZ"/>
        </w:rPr>
        <w:t>nosti k nim připojených elektroměrů.</w:t>
      </w:r>
    </w:p>
    <w:p w:rsidR="00F363D7" w:rsidRPr="007F7C70" w:rsidRDefault="00F363D7">
      <w:pPr>
        <w:pStyle w:val="Zkladntext"/>
        <w:spacing w:before="9"/>
        <w:rPr>
          <w:sz w:val="31"/>
          <w:lang w:val="cs-CZ"/>
        </w:rPr>
      </w:pPr>
    </w:p>
    <w:p w:rsidR="00F363D7" w:rsidRPr="007F7C70" w:rsidRDefault="00FD5698">
      <w:pPr>
        <w:pStyle w:val="Nadpis2"/>
        <w:numPr>
          <w:ilvl w:val="1"/>
          <w:numId w:val="3"/>
        </w:numPr>
        <w:tabs>
          <w:tab w:val="left" w:pos="691"/>
          <w:tab w:val="left" w:pos="692"/>
        </w:tabs>
        <w:rPr>
          <w:lang w:val="cs-CZ"/>
        </w:rPr>
      </w:pPr>
      <w:bookmarkStart w:id="14" w:name="_TOC_250015"/>
      <w:r w:rsidRPr="007F7C70">
        <w:rPr>
          <w:lang w:val="cs-CZ"/>
        </w:rPr>
        <w:t>Měřicí a tarifní</w:t>
      </w:r>
      <w:r w:rsidRPr="007F7C70">
        <w:rPr>
          <w:spacing w:val="-1"/>
          <w:lang w:val="cs-CZ"/>
        </w:rPr>
        <w:t xml:space="preserve"> </w:t>
      </w:r>
      <w:bookmarkEnd w:id="14"/>
      <w:r w:rsidRPr="007F7C70">
        <w:rPr>
          <w:lang w:val="cs-CZ"/>
        </w:rPr>
        <w:t>funkce</w:t>
      </w:r>
    </w:p>
    <w:p w:rsidR="00F363D7" w:rsidRPr="007F7C70" w:rsidRDefault="00FD5698">
      <w:pPr>
        <w:pStyle w:val="Zkladntext"/>
        <w:spacing w:before="105"/>
        <w:ind w:left="547" w:right="166"/>
        <w:jc w:val="both"/>
        <w:rPr>
          <w:lang w:val="cs-CZ"/>
        </w:rPr>
      </w:pPr>
      <w:r w:rsidRPr="007F7C70">
        <w:rPr>
          <w:lang w:val="cs-CZ"/>
        </w:rPr>
        <w:t>Potřebné tarifní a měřicí funkce měřicího zařízení jsou zajišťovány PLDS. Jednotlivé měřicí funkce, které jsou v daném měřicím bodě k dispozici, jsou předmětem smluvního ujednání mezi PLDS a uži</w:t>
      </w:r>
      <w:r w:rsidRPr="007F7C70">
        <w:rPr>
          <w:lang w:val="cs-CZ"/>
        </w:rPr>
        <w:t xml:space="preserve">vatelem LDS. Rozsah měření jalové energie je rovněž stanoven PLDS. U zákazníků s měřením typu C a M je zpravidla dostačující měření činné energie. U zákazníků s průběhovým měřením (typ A </w:t>
      </w:r>
      <w:proofErr w:type="spellStart"/>
      <w:r w:rsidRPr="007F7C70">
        <w:rPr>
          <w:lang w:val="cs-CZ"/>
        </w:rPr>
        <w:t>a</w:t>
      </w:r>
      <w:proofErr w:type="spellEnd"/>
      <w:r w:rsidRPr="007F7C70">
        <w:rPr>
          <w:lang w:val="cs-CZ"/>
        </w:rPr>
        <w:t xml:space="preserve"> typ B) se měří odebíraná i dodávaná jalová energie, v závislosti na</w:t>
      </w:r>
      <w:r w:rsidRPr="007F7C70">
        <w:rPr>
          <w:lang w:val="cs-CZ"/>
        </w:rPr>
        <w:t xml:space="preserve"> směru toku činné energie.</w:t>
      </w:r>
    </w:p>
    <w:p w:rsidR="00F363D7" w:rsidRPr="007F7C70" w:rsidRDefault="00FD5698">
      <w:pPr>
        <w:pStyle w:val="Zkladntext"/>
        <w:ind w:left="548" w:right="168"/>
        <w:jc w:val="both"/>
        <w:rPr>
          <w:lang w:val="cs-CZ"/>
        </w:rPr>
      </w:pPr>
      <w:r w:rsidRPr="007F7C70">
        <w:rPr>
          <w:lang w:val="cs-CZ"/>
        </w:rPr>
        <w:t xml:space="preserve">O použití a nasazení speciálních měřicích systémů, např. </w:t>
      </w:r>
      <w:proofErr w:type="spellStart"/>
      <w:r w:rsidRPr="007F7C70">
        <w:rPr>
          <w:lang w:val="cs-CZ"/>
        </w:rPr>
        <w:t>vícetarifních</w:t>
      </w:r>
      <w:proofErr w:type="spellEnd"/>
      <w:r w:rsidRPr="007F7C70">
        <w:rPr>
          <w:lang w:val="cs-CZ"/>
        </w:rPr>
        <w:t xml:space="preserve"> elektroměrů, </w:t>
      </w:r>
      <w:proofErr w:type="spellStart"/>
      <w:r w:rsidRPr="007F7C70">
        <w:rPr>
          <w:lang w:val="cs-CZ"/>
        </w:rPr>
        <w:t>předplatních</w:t>
      </w:r>
      <w:proofErr w:type="spellEnd"/>
      <w:r w:rsidRPr="007F7C70">
        <w:rPr>
          <w:lang w:val="cs-CZ"/>
        </w:rPr>
        <w:t xml:space="preserve"> </w:t>
      </w:r>
      <w:proofErr w:type="gramStart"/>
      <w:r w:rsidRPr="007F7C70">
        <w:rPr>
          <w:lang w:val="cs-CZ"/>
        </w:rPr>
        <w:t>systémů,</w:t>
      </w:r>
      <w:proofErr w:type="gramEnd"/>
      <w:r w:rsidRPr="007F7C70">
        <w:rPr>
          <w:lang w:val="cs-CZ"/>
        </w:rPr>
        <w:t xml:space="preserve"> atd., rozhoduje PLDS. Záležitost vyžaduje odpovídající smluvní zajištění.</w:t>
      </w:r>
    </w:p>
    <w:p w:rsidR="00F363D7" w:rsidRPr="007F7C70" w:rsidRDefault="00F363D7">
      <w:pPr>
        <w:pStyle w:val="Zkladntext"/>
        <w:spacing w:before="9"/>
        <w:rPr>
          <w:sz w:val="31"/>
          <w:lang w:val="cs-CZ"/>
        </w:rPr>
      </w:pPr>
    </w:p>
    <w:p w:rsidR="00F363D7" w:rsidRPr="007F7C70" w:rsidRDefault="00FD5698">
      <w:pPr>
        <w:pStyle w:val="Nadpis2"/>
        <w:numPr>
          <w:ilvl w:val="1"/>
          <w:numId w:val="3"/>
        </w:numPr>
        <w:tabs>
          <w:tab w:val="left" w:pos="691"/>
          <w:tab w:val="left" w:pos="692"/>
        </w:tabs>
        <w:rPr>
          <w:lang w:val="cs-CZ"/>
        </w:rPr>
      </w:pPr>
      <w:bookmarkStart w:id="15" w:name="_TOC_250014"/>
      <w:bookmarkEnd w:id="15"/>
      <w:r w:rsidRPr="007F7C70">
        <w:rPr>
          <w:lang w:val="cs-CZ"/>
        </w:rPr>
        <w:t>Ovládání tarifů a blokování spotřebičů</w:t>
      </w:r>
    </w:p>
    <w:p w:rsidR="00F363D7" w:rsidRPr="007F7C70" w:rsidRDefault="00FD5698">
      <w:pPr>
        <w:pStyle w:val="Zkladntext"/>
        <w:spacing w:before="107"/>
        <w:ind w:left="547" w:right="169"/>
        <w:jc w:val="both"/>
        <w:rPr>
          <w:lang w:val="cs-CZ"/>
        </w:rPr>
      </w:pPr>
      <w:r w:rsidRPr="007F7C70">
        <w:rPr>
          <w:lang w:val="cs-CZ"/>
        </w:rPr>
        <w:t xml:space="preserve">Pro ovládání jednotlivých tarifních </w:t>
      </w:r>
      <w:r w:rsidRPr="007F7C70">
        <w:rPr>
          <w:lang w:val="cs-CZ"/>
        </w:rPr>
        <w:t>registrů (číselníků) elektroměru (přepínání sazeb) a blokování spotřebičů se u měření typu C a M používá zařízení hromadného dálkového ovládání (HDO), přepínací hodiny, popř. i jiné technické prostředky v interním nebo samostatném provedení. K případnému p</w:t>
      </w:r>
      <w:r w:rsidRPr="007F7C70">
        <w:rPr>
          <w:lang w:val="cs-CZ"/>
        </w:rPr>
        <w:t xml:space="preserve">řepínání sazeb u měření typu A </w:t>
      </w:r>
      <w:proofErr w:type="spellStart"/>
      <w:r w:rsidRPr="007F7C70">
        <w:rPr>
          <w:lang w:val="cs-CZ"/>
        </w:rPr>
        <w:t>a</w:t>
      </w:r>
      <w:proofErr w:type="spellEnd"/>
      <w:r w:rsidRPr="007F7C70">
        <w:rPr>
          <w:lang w:val="cs-CZ"/>
        </w:rPr>
        <w:t xml:space="preserve"> B se využívá interní časové základny elektroměru nebo registračního přístroje.</w:t>
      </w:r>
    </w:p>
    <w:p w:rsidR="00F363D7" w:rsidRPr="007F7C70" w:rsidRDefault="00F363D7">
      <w:pPr>
        <w:pStyle w:val="Zkladntext"/>
        <w:spacing w:before="7"/>
        <w:rPr>
          <w:sz w:val="31"/>
          <w:lang w:val="cs-CZ"/>
        </w:rPr>
      </w:pPr>
    </w:p>
    <w:p w:rsidR="00F363D7" w:rsidRPr="007F7C70" w:rsidRDefault="00FD5698">
      <w:pPr>
        <w:pStyle w:val="Nadpis2"/>
        <w:numPr>
          <w:ilvl w:val="1"/>
          <w:numId w:val="3"/>
        </w:numPr>
        <w:tabs>
          <w:tab w:val="left" w:pos="691"/>
          <w:tab w:val="left" w:pos="692"/>
        </w:tabs>
        <w:rPr>
          <w:lang w:val="cs-CZ"/>
        </w:rPr>
      </w:pPr>
      <w:bookmarkStart w:id="16" w:name="_TOC_250013"/>
      <w:r w:rsidRPr="007F7C70">
        <w:rPr>
          <w:lang w:val="cs-CZ"/>
        </w:rPr>
        <w:t>Provozování měřicího</w:t>
      </w:r>
      <w:r w:rsidRPr="007F7C70">
        <w:rPr>
          <w:spacing w:val="1"/>
          <w:lang w:val="cs-CZ"/>
        </w:rPr>
        <w:t xml:space="preserve"> </w:t>
      </w:r>
      <w:bookmarkEnd w:id="16"/>
      <w:r w:rsidRPr="007F7C70">
        <w:rPr>
          <w:lang w:val="cs-CZ"/>
        </w:rPr>
        <w:t>zařízení</w:t>
      </w:r>
    </w:p>
    <w:p w:rsidR="00F363D7" w:rsidRPr="007F7C70" w:rsidRDefault="00FD5698">
      <w:pPr>
        <w:pStyle w:val="Zkladntext"/>
        <w:spacing w:before="106"/>
        <w:ind w:left="547" w:right="170"/>
        <w:jc w:val="both"/>
        <w:rPr>
          <w:lang w:val="cs-CZ"/>
        </w:rPr>
      </w:pPr>
      <w:r w:rsidRPr="007F7C70">
        <w:rPr>
          <w:lang w:val="cs-CZ"/>
        </w:rPr>
        <w:t>PLDS je zodpovědný za řádný a bezporuchový provoz měřicího zařízení. Za tímto účelem je každý uživatel LDS (výrobce i zákazník) povinen zabezpečit PLDS kdykoli přístup k měřicímu zařízení. Tato povinnost bývá navíc zakotvena v příslušných smlouvách. Zajišt</w:t>
      </w:r>
      <w:r w:rsidRPr="007F7C70">
        <w:rPr>
          <w:lang w:val="cs-CZ"/>
        </w:rPr>
        <w:t>ění časově neomezeného přístupu je nutné např. z důvodů odstraňování poruch, provádění revizí, údržby, odečtů, výměny z důvodu procházející platnosti ověření a</w:t>
      </w:r>
      <w:r w:rsidRPr="007F7C70">
        <w:rPr>
          <w:spacing w:val="-2"/>
          <w:lang w:val="cs-CZ"/>
        </w:rPr>
        <w:t xml:space="preserve"> </w:t>
      </w:r>
      <w:r w:rsidRPr="007F7C70">
        <w:rPr>
          <w:lang w:val="cs-CZ"/>
        </w:rPr>
        <w:t>kontrol.</w:t>
      </w:r>
    </w:p>
    <w:p w:rsidR="00F363D7" w:rsidRPr="007F7C70" w:rsidRDefault="00F363D7">
      <w:pPr>
        <w:pStyle w:val="Zkladntext"/>
        <w:spacing w:before="10"/>
        <w:rPr>
          <w:sz w:val="31"/>
          <w:lang w:val="cs-CZ"/>
        </w:rPr>
      </w:pPr>
    </w:p>
    <w:p w:rsidR="00F363D7" w:rsidRPr="007F7C70" w:rsidRDefault="00FD5698">
      <w:pPr>
        <w:pStyle w:val="Nadpis2"/>
        <w:numPr>
          <w:ilvl w:val="1"/>
          <w:numId w:val="3"/>
        </w:numPr>
        <w:tabs>
          <w:tab w:val="left" w:pos="691"/>
          <w:tab w:val="left" w:pos="692"/>
        </w:tabs>
        <w:rPr>
          <w:lang w:val="cs-CZ"/>
        </w:rPr>
      </w:pPr>
      <w:bookmarkStart w:id="17" w:name="_TOC_250012"/>
      <w:r w:rsidRPr="007F7C70">
        <w:rPr>
          <w:lang w:val="cs-CZ"/>
        </w:rPr>
        <w:t>Poskytnutí telekomunikačního</w:t>
      </w:r>
      <w:r w:rsidRPr="007F7C70">
        <w:rPr>
          <w:spacing w:val="-1"/>
          <w:lang w:val="cs-CZ"/>
        </w:rPr>
        <w:t xml:space="preserve"> </w:t>
      </w:r>
      <w:bookmarkEnd w:id="17"/>
      <w:r w:rsidRPr="007F7C70">
        <w:rPr>
          <w:lang w:val="cs-CZ"/>
        </w:rPr>
        <w:t>připojení</w:t>
      </w:r>
    </w:p>
    <w:p w:rsidR="00F363D7" w:rsidRPr="007F7C70" w:rsidRDefault="00FD5698">
      <w:pPr>
        <w:pStyle w:val="Zkladntext"/>
        <w:spacing w:before="106"/>
        <w:ind w:left="548" w:right="168"/>
        <w:jc w:val="both"/>
        <w:rPr>
          <w:lang w:val="cs-CZ"/>
        </w:rPr>
      </w:pPr>
      <w:r w:rsidRPr="007F7C70">
        <w:rPr>
          <w:lang w:val="cs-CZ"/>
        </w:rPr>
        <w:t>U průběhového měření elektřiny typu A je zapotř</w:t>
      </w:r>
      <w:r w:rsidRPr="007F7C70">
        <w:rPr>
          <w:lang w:val="cs-CZ"/>
        </w:rPr>
        <w:t>ebí zajistit příslušný přenos naměřených hodnot. Za tím účelem poskytuje uživatel LDS příslušnému PLDS bezplatně k dispozici samostatnou telekomunikační linku (pobočku) a pomocné napájecí napětí (např. pro externí modem), obojí do bezprostřední blízkosti m</w:t>
      </w:r>
      <w:r w:rsidRPr="007F7C70">
        <w:rPr>
          <w:lang w:val="cs-CZ"/>
        </w:rPr>
        <w:t xml:space="preserve">ěřicího místa. Při chybějícím nebo v příslušném termínu nezajištěném telekomunikačním připojení instaluje PLDS modem </w:t>
      </w:r>
      <w:proofErr w:type="gramStart"/>
      <w:r w:rsidRPr="007F7C70">
        <w:rPr>
          <w:lang w:val="cs-CZ"/>
        </w:rPr>
        <w:t>GSM  a</w:t>
      </w:r>
      <w:proofErr w:type="gramEnd"/>
      <w:r w:rsidRPr="007F7C70">
        <w:rPr>
          <w:lang w:val="cs-CZ"/>
        </w:rPr>
        <w:t xml:space="preserve"> uživatel  pak  bude povinen  hradit  pravidelné poplatky za vícenáklady spojené  s</w:t>
      </w:r>
      <w:r w:rsidRPr="007F7C70">
        <w:rPr>
          <w:spacing w:val="-2"/>
          <w:lang w:val="cs-CZ"/>
        </w:rPr>
        <w:t xml:space="preserve"> </w:t>
      </w:r>
      <w:r w:rsidRPr="007F7C70">
        <w:rPr>
          <w:lang w:val="cs-CZ"/>
        </w:rPr>
        <w:t>tímto</w:t>
      </w:r>
      <w:r w:rsidRPr="007F7C70">
        <w:rPr>
          <w:spacing w:val="24"/>
          <w:lang w:val="cs-CZ"/>
        </w:rPr>
        <w:t xml:space="preserve"> </w:t>
      </w:r>
      <w:r w:rsidRPr="007F7C70">
        <w:rPr>
          <w:lang w:val="cs-CZ"/>
        </w:rPr>
        <w:t>zajištěním</w:t>
      </w:r>
      <w:r w:rsidRPr="007F7C70">
        <w:rPr>
          <w:spacing w:val="25"/>
          <w:lang w:val="cs-CZ"/>
        </w:rPr>
        <w:t xml:space="preserve"> </w:t>
      </w:r>
      <w:r w:rsidRPr="007F7C70">
        <w:rPr>
          <w:lang w:val="cs-CZ"/>
        </w:rPr>
        <w:t>komunikace.</w:t>
      </w:r>
      <w:r w:rsidRPr="007F7C70">
        <w:rPr>
          <w:spacing w:val="24"/>
          <w:lang w:val="cs-CZ"/>
        </w:rPr>
        <w:t xml:space="preserve"> </w:t>
      </w:r>
      <w:r w:rsidRPr="007F7C70">
        <w:rPr>
          <w:lang w:val="cs-CZ"/>
        </w:rPr>
        <w:t>Pokud</w:t>
      </w:r>
      <w:r w:rsidRPr="007F7C70">
        <w:rPr>
          <w:spacing w:val="24"/>
          <w:lang w:val="cs-CZ"/>
        </w:rPr>
        <w:t xml:space="preserve"> </w:t>
      </w:r>
      <w:r w:rsidRPr="007F7C70">
        <w:rPr>
          <w:lang w:val="cs-CZ"/>
        </w:rPr>
        <w:t>uživatel</w:t>
      </w:r>
      <w:r w:rsidRPr="007F7C70">
        <w:rPr>
          <w:spacing w:val="24"/>
          <w:lang w:val="cs-CZ"/>
        </w:rPr>
        <w:t xml:space="preserve"> </w:t>
      </w:r>
      <w:r w:rsidRPr="007F7C70">
        <w:rPr>
          <w:lang w:val="cs-CZ"/>
        </w:rPr>
        <w:t>zajis</w:t>
      </w:r>
      <w:r w:rsidRPr="007F7C70">
        <w:rPr>
          <w:lang w:val="cs-CZ"/>
        </w:rPr>
        <w:t>tí</w:t>
      </w:r>
      <w:r w:rsidRPr="007F7C70">
        <w:rPr>
          <w:spacing w:val="24"/>
          <w:lang w:val="cs-CZ"/>
        </w:rPr>
        <w:t xml:space="preserve"> </w:t>
      </w:r>
      <w:r w:rsidRPr="007F7C70">
        <w:rPr>
          <w:lang w:val="cs-CZ"/>
        </w:rPr>
        <w:t>spojení</w:t>
      </w:r>
      <w:r w:rsidRPr="007F7C70">
        <w:rPr>
          <w:spacing w:val="24"/>
          <w:lang w:val="cs-CZ"/>
        </w:rPr>
        <w:t xml:space="preserve"> </w:t>
      </w:r>
      <w:r w:rsidRPr="007F7C70">
        <w:rPr>
          <w:lang w:val="cs-CZ"/>
        </w:rPr>
        <w:t>dodatečně,</w:t>
      </w:r>
      <w:r w:rsidRPr="007F7C70">
        <w:rPr>
          <w:spacing w:val="26"/>
          <w:lang w:val="cs-CZ"/>
        </w:rPr>
        <w:t xml:space="preserve"> </w:t>
      </w:r>
      <w:r w:rsidRPr="007F7C70">
        <w:rPr>
          <w:lang w:val="cs-CZ"/>
        </w:rPr>
        <w:t>tato</w:t>
      </w:r>
      <w:r w:rsidRPr="007F7C70">
        <w:rPr>
          <w:spacing w:val="24"/>
          <w:lang w:val="cs-CZ"/>
        </w:rPr>
        <w:t xml:space="preserve"> </w:t>
      </w:r>
      <w:r w:rsidRPr="007F7C70">
        <w:rPr>
          <w:lang w:val="cs-CZ"/>
        </w:rPr>
        <w:t>povinnost</w:t>
      </w:r>
    </w:p>
    <w:p w:rsidR="00F363D7" w:rsidRPr="007F7C70" w:rsidRDefault="00F363D7">
      <w:pPr>
        <w:jc w:val="both"/>
        <w:rPr>
          <w:lang w:val="cs-CZ"/>
        </w:rPr>
        <w:sectPr w:rsidR="00F363D7" w:rsidRPr="007F7C70">
          <w:pgSz w:w="11900" w:h="16840"/>
          <w:pgMar w:top="1060" w:right="1240" w:bottom="1220" w:left="1300" w:header="0" w:footer="1037" w:gutter="0"/>
          <w:cols w:space="708"/>
        </w:sectPr>
      </w:pPr>
    </w:p>
    <w:p w:rsidR="00F363D7" w:rsidRPr="007F7C70" w:rsidRDefault="00FD5698">
      <w:pPr>
        <w:pStyle w:val="Zkladntext"/>
        <w:spacing w:before="64"/>
        <w:ind w:left="547" w:right="170"/>
        <w:jc w:val="both"/>
        <w:rPr>
          <w:lang w:val="cs-CZ"/>
        </w:rPr>
      </w:pPr>
      <w:r w:rsidRPr="007F7C70">
        <w:rPr>
          <w:lang w:val="cs-CZ"/>
        </w:rPr>
        <w:lastRenderedPageBreak/>
        <w:t xml:space="preserve">zanikne. Přístup k elektroměru, případně k přídavnému zařízení (registrační přístroj, </w:t>
      </w:r>
      <w:proofErr w:type="gramStart"/>
      <w:r w:rsidRPr="007F7C70">
        <w:rPr>
          <w:lang w:val="cs-CZ"/>
        </w:rPr>
        <w:t>modem,</w:t>
      </w:r>
      <w:proofErr w:type="gramEnd"/>
      <w:r w:rsidRPr="007F7C70">
        <w:rPr>
          <w:lang w:val="cs-CZ"/>
        </w:rPr>
        <w:t xml:space="preserve"> atd.) je obvykle jištěn heslem.</w:t>
      </w:r>
    </w:p>
    <w:p w:rsidR="00F363D7" w:rsidRPr="007F7C70" w:rsidRDefault="00FD5698">
      <w:pPr>
        <w:ind w:left="547" w:right="167"/>
        <w:jc w:val="both"/>
        <w:rPr>
          <w:i/>
          <w:sz w:val="24"/>
          <w:lang w:val="cs-CZ"/>
        </w:rPr>
      </w:pPr>
      <w:r w:rsidRPr="007F7C70">
        <w:rPr>
          <w:i/>
          <w:sz w:val="24"/>
          <w:lang w:val="cs-CZ"/>
        </w:rPr>
        <w:t>Poznámka: Inicializace přenosu dat je vždy vedena z centra příslušného PLDS.</w:t>
      </w:r>
      <w:r w:rsidRPr="007F7C70">
        <w:rPr>
          <w:i/>
          <w:sz w:val="24"/>
          <w:lang w:val="cs-CZ"/>
        </w:rPr>
        <w:t xml:space="preserve"> PLDS tedy hradí minutové poplatky za přenos dat. Ostatní poplatky (obvykle instalace a pevný paušál) jsou hrazeny ze strany uživatele LDS.</w:t>
      </w:r>
    </w:p>
    <w:p w:rsidR="00F363D7" w:rsidRPr="007F7C70" w:rsidRDefault="00F363D7">
      <w:pPr>
        <w:pStyle w:val="Zkladntext"/>
        <w:spacing w:before="10"/>
        <w:rPr>
          <w:i/>
          <w:sz w:val="31"/>
          <w:lang w:val="cs-CZ"/>
        </w:rPr>
      </w:pPr>
    </w:p>
    <w:p w:rsidR="00F363D7" w:rsidRPr="007F7C70" w:rsidRDefault="00FD5698">
      <w:pPr>
        <w:pStyle w:val="Nadpis2"/>
        <w:numPr>
          <w:ilvl w:val="1"/>
          <w:numId w:val="3"/>
        </w:numPr>
        <w:tabs>
          <w:tab w:val="left" w:pos="691"/>
          <w:tab w:val="left" w:pos="692"/>
        </w:tabs>
        <w:rPr>
          <w:lang w:val="cs-CZ"/>
        </w:rPr>
      </w:pPr>
      <w:bookmarkStart w:id="18" w:name="_TOC_250011"/>
      <w:bookmarkEnd w:id="18"/>
      <w:r w:rsidRPr="007F7C70">
        <w:rPr>
          <w:lang w:val="cs-CZ"/>
        </w:rPr>
        <w:t>Kontrolní (porovnávací) měření</w:t>
      </w:r>
    </w:p>
    <w:p w:rsidR="00F363D7" w:rsidRPr="007F7C70" w:rsidRDefault="00FD5698">
      <w:pPr>
        <w:pStyle w:val="Zkladntext"/>
        <w:spacing w:before="107"/>
        <w:ind w:left="547" w:right="165"/>
        <w:jc w:val="both"/>
        <w:rPr>
          <w:lang w:val="cs-CZ"/>
        </w:rPr>
      </w:pPr>
      <w:r w:rsidRPr="007F7C70">
        <w:rPr>
          <w:lang w:val="cs-CZ"/>
        </w:rPr>
        <w:t>Výrobci, zákazníci a obchodníci mohou v souladu s §49, bod 3 [1] a se souhlasem PLDS pro vlastní potřebu a na svůj náklad osadit vlastní kontrolní měřicí zařízení. Druh a rozsah zařízení kontrolního měření je nutno odsouhlasit a smluvně podchytit s přísluš</w:t>
      </w:r>
      <w:r w:rsidRPr="007F7C70">
        <w:rPr>
          <w:lang w:val="cs-CZ"/>
        </w:rPr>
        <w:t>ným PLDS. PLDS musí být umožněn přístup k takovému kontrolnímu měření, ke všem měřeným hodnotám, stejně jako je tomu u hlavního fakturačního měření. Elektroměry kontrolního měření jsou přiřazeny k samostatným měřicím bodům, různým od měřicích bodů hlavního</w:t>
      </w:r>
      <w:r w:rsidRPr="007F7C70">
        <w:rPr>
          <w:lang w:val="cs-CZ"/>
        </w:rPr>
        <w:t xml:space="preserve"> (fakturačního) měření. Je nezbytné zajistit rovněž kontrolní měření proti neoprávněné manipulaci. V případě převodového měření jsou vyžadovány zpravidla vlastní měřicí transformátory, nebo alespoň samostatná jádra, aby nemohlo dojít chybnou manipulací k n</w:t>
      </w:r>
      <w:r w:rsidRPr="007F7C70">
        <w:rPr>
          <w:lang w:val="cs-CZ"/>
        </w:rPr>
        <w:t>ežádoucímu ovlivnění hlavního fakturačního měření. Pro eventuální porovnávání výsledků obou měření se doporučuje pravidlo dvojnásobku maximální přípustné chyby v rámci třídy přesnosti použitého</w:t>
      </w:r>
      <w:r w:rsidRPr="007F7C70">
        <w:rPr>
          <w:spacing w:val="-12"/>
          <w:lang w:val="cs-CZ"/>
        </w:rPr>
        <w:t xml:space="preserve"> </w:t>
      </w:r>
      <w:r w:rsidRPr="007F7C70">
        <w:rPr>
          <w:lang w:val="cs-CZ"/>
        </w:rPr>
        <w:t>elektroměru.</w:t>
      </w:r>
    </w:p>
    <w:p w:rsidR="00F363D7" w:rsidRPr="007F7C70" w:rsidRDefault="00F363D7">
      <w:pPr>
        <w:pStyle w:val="Zkladntext"/>
        <w:spacing w:before="9"/>
        <w:rPr>
          <w:sz w:val="31"/>
          <w:lang w:val="cs-CZ"/>
        </w:rPr>
      </w:pPr>
    </w:p>
    <w:p w:rsidR="00F363D7" w:rsidRPr="007F7C70" w:rsidRDefault="00FD5698">
      <w:pPr>
        <w:pStyle w:val="Nadpis2"/>
        <w:numPr>
          <w:ilvl w:val="1"/>
          <w:numId w:val="3"/>
        </w:numPr>
        <w:tabs>
          <w:tab w:val="left" w:pos="752"/>
        </w:tabs>
        <w:ind w:left="752" w:hanging="636"/>
        <w:rPr>
          <w:lang w:val="cs-CZ"/>
        </w:rPr>
      </w:pPr>
      <w:bookmarkStart w:id="19" w:name="_TOC_250010"/>
      <w:bookmarkEnd w:id="19"/>
      <w:r w:rsidRPr="007F7C70">
        <w:rPr>
          <w:lang w:val="cs-CZ"/>
        </w:rPr>
        <w:t>Využití informací z fakturačního měření PLDS zák</w:t>
      </w:r>
      <w:r w:rsidRPr="007F7C70">
        <w:rPr>
          <w:lang w:val="cs-CZ"/>
        </w:rPr>
        <w:t>azníkem</w:t>
      </w:r>
    </w:p>
    <w:p w:rsidR="00F363D7" w:rsidRPr="007F7C70" w:rsidRDefault="00FD5698">
      <w:pPr>
        <w:pStyle w:val="Zkladntext"/>
        <w:spacing w:before="104"/>
        <w:ind w:left="547" w:right="167"/>
        <w:jc w:val="both"/>
        <w:rPr>
          <w:lang w:val="cs-CZ"/>
        </w:rPr>
      </w:pPr>
      <w:r w:rsidRPr="007F7C70">
        <w:rPr>
          <w:lang w:val="cs-CZ"/>
        </w:rPr>
        <w:t xml:space="preserve">V </w:t>
      </w:r>
      <w:proofErr w:type="gramStart"/>
      <w:r w:rsidRPr="007F7C70">
        <w:rPr>
          <w:lang w:val="cs-CZ"/>
        </w:rPr>
        <w:t>případě,  že</w:t>
      </w:r>
      <w:proofErr w:type="gramEnd"/>
      <w:r w:rsidRPr="007F7C70">
        <w:rPr>
          <w:lang w:val="cs-CZ"/>
        </w:rPr>
        <w:t xml:space="preserve">  výrobce   nebo  zákazník  projeví   zájem   o  kontinuální   využívání   dat z fakturačního měření přímo v odběrném místě (monitoring, řízení zátěže), bude mu to ze strany PLDS umožněno za předpokladu, že fakturační měření toto využ</w:t>
      </w:r>
      <w:r w:rsidRPr="007F7C70">
        <w:rPr>
          <w:lang w:val="cs-CZ"/>
        </w:rPr>
        <w:t>ití umožňuje. Výstup z elektroměru nebo registračního přístroje (zpravidla impulsní výstup) se vyvede na příslušné rozhraní a galvanicky oddělí optočlenem nebo pomocí relé, aby nemohlo dojít k poškození měřicího zařízení PLDS nesprávnou manipulací. Výrobce</w:t>
      </w:r>
      <w:r w:rsidRPr="007F7C70">
        <w:rPr>
          <w:lang w:val="cs-CZ"/>
        </w:rPr>
        <w:t xml:space="preserve"> nebo zákazník je pak povinen uhradit pořízení a montáž optočlenu (relé). Porucha zařízení neopravňuje uživatele LDS k nedodržování smluvních hodnot. Při změně typu měřicího zařízení obnoví provozovatel LDS vyvedení výstupů pouze v případě, že to </w:t>
      </w:r>
      <w:r w:rsidRPr="007F7C70">
        <w:rPr>
          <w:spacing w:val="-2"/>
          <w:lang w:val="cs-CZ"/>
        </w:rPr>
        <w:t xml:space="preserve">typ </w:t>
      </w:r>
      <w:r w:rsidRPr="007F7C70">
        <w:rPr>
          <w:lang w:val="cs-CZ"/>
        </w:rPr>
        <w:t>a nas</w:t>
      </w:r>
      <w:r w:rsidRPr="007F7C70">
        <w:rPr>
          <w:lang w:val="cs-CZ"/>
        </w:rPr>
        <w:t>tavení měřicího zařízení umožňuje. Při výměně měřicího zařízení fakturačního měření za jiný typ si zákazník nebo výrobce na svůj náklad upraví vlastní vyhodnocovací zařízení s ohledem na případnou změnu výstupních parametrů. Další podrobnosti stanoví přísl</w:t>
      </w:r>
      <w:r w:rsidRPr="007F7C70">
        <w:rPr>
          <w:lang w:val="cs-CZ"/>
        </w:rPr>
        <w:t>ušný</w:t>
      </w:r>
      <w:r w:rsidRPr="007F7C70">
        <w:rPr>
          <w:spacing w:val="-5"/>
          <w:lang w:val="cs-CZ"/>
        </w:rPr>
        <w:t xml:space="preserve"> </w:t>
      </w:r>
      <w:r w:rsidRPr="007F7C70">
        <w:rPr>
          <w:lang w:val="cs-CZ"/>
        </w:rPr>
        <w:t>PLDS.</w:t>
      </w:r>
    </w:p>
    <w:p w:rsidR="00F363D7" w:rsidRPr="007F7C70" w:rsidRDefault="00F363D7">
      <w:pPr>
        <w:pStyle w:val="Zkladntext"/>
        <w:spacing w:before="10"/>
        <w:rPr>
          <w:sz w:val="31"/>
          <w:lang w:val="cs-CZ"/>
        </w:rPr>
      </w:pPr>
    </w:p>
    <w:p w:rsidR="00F363D7" w:rsidRPr="007F7C70" w:rsidRDefault="00FD5698">
      <w:pPr>
        <w:pStyle w:val="Nadpis2"/>
        <w:numPr>
          <w:ilvl w:val="1"/>
          <w:numId w:val="3"/>
        </w:numPr>
        <w:tabs>
          <w:tab w:val="left" w:pos="752"/>
        </w:tabs>
        <w:ind w:left="752" w:hanging="636"/>
        <w:rPr>
          <w:lang w:val="cs-CZ"/>
        </w:rPr>
      </w:pPr>
      <w:bookmarkStart w:id="20" w:name="_TOC_250009"/>
      <w:bookmarkEnd w:id="20"/>
      <w:r w:rsidRPr="007F7C70">
        <w:rPr>
          <w:lang w:val="cs-CZ"/>
        </w:rPr>
        <w:t>Zabezpečení surových dat</w:t>
      </w:r>
    </w:p>
    <w:p w:rsidR="00F363D7" w:rsidRPr="007F7C70" w:rsidRDefault="00FD5698">
      <w:pPr>
        <w:pStyle w:val="Zkladntext"/>
        <w:spacing w:before="107"/>
        <w:ind w:left="547" w:right="169"/>
        <w:jc w:val="both"/>
        <w:rPr>
          <w:lang w:val="cs-CZ"/>
        </w:rPr>
      </w:pPr>
      <w:r w:rsidRPr="007F7C70">
        <w:rPr>
          <w:lang w:val="cs-CZ"/>
        </w:rPr>
        <w:t>Surová data jsou odečtené nebo sejmuté informace přímo z měřicího přístroje nebo registračního (integračního) přístroje. Odečtené naměřené hodnoty z daného měřicího místa je zapotřebí jakožto surová data nezměněně archi</w:t>
      </w:r>
      <w:r w:rsidRPr="007F7C70">
        <w:rPr>
          <w:lang w:val="cs-CZ"/>
        </w:rPr>
        <w:t>vovat a uchovávat. Za to je zodpovědný PLDS. V případě, že surová data představují sekundární hodnoty, je zapotřebí archivovat a uchovávat i příslušné převodové poměry měřicích transformátorů a</w:t>
      </w:r>
      <w:r w:rsidRPr="007F7C70">
        <w:rPr>
          <w:spacing w:val="-2"/>
          <w:lang w:val="cs-CZ"/>
        </w:rPr>
        <w:t xml:space="preserve"> </w:t>
      </w:r>
      <w:r w:rsidRPr="007F7C70">
        <w:rPr>
          <w:lang w:val="cs-CZ"/>
        </w:rPr>
        <w:t>násobitele.</w:t>
      </w:r>
    </w:p>
    <w:p w:rsidR="00F363D7" w:rsidRPr="007F7C70" w:rsidRDefault="00F363D7">
      <w:pPr>
        <w:pStyle w:val="Zkladntext"/>
        <w:spacing w:before="9"/>
        <w:rPr>
          <w:sz w:val="31"/>
          <w:lang w:val="cs-CZ"/>
        </w:rPr>
      </w:pPr>
    </w:p>
    <w:p w:rsidR="00F363D7" w:rsidRPr="007F7C70" w:rsidRDefault="00FD5698">
      <w:pPr>
        <w:pStyle w:val="Nadpis2"/>
        <w:numPr>
          <w:ilvl w:val="1"/>
          <w:numId w:val="3"/>
        </w:numPr>
        <w:tabs>
          <w:tab w:val="left" w:pos="692"/>
        </w:tabs>
        <w:rPr>
          <w:lang w:val="cs-CZ"/>
        </w:rPr>
      </w:pPr>
      <w:bookmarkStart w:id="21" w:name="_TOC_250008"/>
      <w:r w:rsidRPr="007F7C70">
        <w:rPr>
          <w:lang w:val="cs-CZ"/>
        </w:rPr>
        <w:t>Předávání naměřených</w:t>
      </w:r>
      <w:r w:rsidRPr="007F7C70">
        <w:rPr>
          <w:spacing w:val="2"/>
          <w:lang w:val="cs-CZ"/>
        </w:rPr>
        <w:t xml:space="preserve"> </w:t>
      </w:r>
      <w:bookmarkEnd w:id="21"/>
      <w:r w:rsidRPr="007F7C70">
        <w:rPr>
          <w:lang w:val="cs-CZ"/>
        </w:rPr>
        <w:t>hodnot</w:t>
      </w:r>
    </w:p>
    <w:p w:rsidR="00F363D7" w:rsidRPr="007F7C70" w:rsidRDefault="00FD5698">
      <w:pPr>
        <w:pStyle w:val="Zkladntext"/>
        <w:spacing w:before="104"/>
        <w:ind w:left="548"/>
        <w:jc w:val="both"/>
        <w:rPr>
          <w:lang w:val="cs-CZ"/>
        </w:rPr>
      </w:pPr>
      <w:r w:rsidRPr="007F7C70">
        <w:rPr>
          <w:lang w:val="cs-CZ"/>
        </w:rPr>
        <w:t>Naměřené hodnoty PLDS</w:t>
      </w:r>
      <w:r w:rsidRPr="007F7C70">
        <w:rPr>
          <w:lang w:val="cs-CZ"/>
        </w:rPr>
        <w:t xml:space="preserve"> předává OTE dle zásad v [5].</w:t>
      </w:r>
    </w:p>
    <w:p w:rsidR="00F363D7" w:rsidRPr="007F7C70" w:rsidRDefault="00F363D7">
      <w:pPr>
        <w:jc w:val="both"/>
        <w:rPr>
          <w:lang w:val="cs-CZ"/>
        </w:rPr>
        <w:sectPr w:rsidR="00F363D7" w:rsidRPr="007F7C70">
          <w:pgSz w:w="11900" w:h="16840"/>
          <w:pgMar w:top="1060" w:right="1240" w:bottom="1220" w:left="1300" w:header="0" w:footer="1037" w:gutter="0"/>
          <w:cols w:space="708"/>
        </w:sectPr>
      </w:pPr>
    </w:p>
    <w:p w:rsidR="00F363D7" w:rsidRPr="007F7C70" w:rsidRDefault="00FD5698">
      <w:pPr>
        <w:pStyle w:val="Odstavecseseznamem"/>
        <w:numPr>
          <w:ilvl w:val="1"/>
          <w:numId w:val="3"/>
        </w:numPr>
        <w:tabs>
          <w:tab w:val="left" w:pos="692"/>
        </w:tabs>
        <w:spacing w:before="70" w:line="324" w:lineRule="auto"/>
        <w:ind w:left="116" w:right="2317" w:firstLine="0"/>
        <w:rPr>
          <w:b/>
          <w:sz w:val="24"/>
          <w:lang w:val="cs-CZ"/>
        </w:rPr>
      </w:pPr>
      <w:r w:rsidRPr="007F7C70">
        <w:rPr>
          <w:b/>
          <w:sz w:val="24"/>
          <w:lang w:val="cs-CZ"/>
        </w:rPr>
        <w:lastRenderedPageBreak/>
        <w:t xml:space="preserve">Úhrada nákladů za měřicí zařízení a poskytování (přenos) dat </w:t>
      </w:r>
      <w:r w:rsidRPr="007F7C70">
        <w:rPr>
          <w:b/>
          <w:spacing w:val="-3"/>
          <w:sz w:val="24"/>
          <w:lang w:val="cs-CZ"/>
        </w:rPr>
        <w:t xml:space="preserve">Příslušný </w:t>
      </w:r>
      <w:r w:rsidRPr="007F7C70">
        <w:rPr>
          <w:b/>
          <w:spacing w:val="-4"/>
          <w:sz w:val="24"/>
          <w:lang w:val="cs-CZ"/>
        </w:rPr>
        <w:t>PLDS</w:t>
      </w:r>
      <w:r w:rsidRPr="007F7C70">
        <w:rPr>
          <w:b/>
          <w:spacing w:val="-9"/>
          <w:sz w:val="24"/>
          <w:lang w:val="cs-CZ"/>
        </w:rPr>
        <w:t xml:space="preserve"> </w:t>
      </w:r>
      <w:r w:rsidRPr="007F7C70">
        <w:rPr>
          <w:b/>
          <w:spacing w:val="-3"/>
          <w:sz w:val="24"/>
          <w:lang w:val="cs-CZ"/>
        </w:rPr>
        <w:t>hradí:</w:t>
      </w:r>
    </w:p>
    <w:p w:rsidR="00F363D7" w:rsidRPr="007F7C70" w:rsidRDefault="00FD5698">
      <w:pPr>
        <w:pStyle w:val="Odstavecseseznamem"/>
        <w:numPr>
          <w:ilvl w:val="2"/>
          <w:numId w:val="3"/>
        </w:numPr>
        <w:tabs>
          <w:tab w:val="left" w:pos="824"/>
        </w:tabs>
        <w:spacing w:before="22" w:line="237" w:lineRule="auto"/>
        <w:ind w:left="836" w:right="109"/>
        <w:jc w:val="both"/>
        <w:rPr>
          <w:sz w:val="24"/>
          <w:lang w:val="cs-CZ"/>
        </w:rPr>
      </w:pPr>
      <w:r w:rsidRPr="007F7C70">
        <w:rPr>
          <w:spacing w:val="-3"/>
          <w:sz w:val="24"/>
          <w:lang w:val="cs-CZ"/>
        </w:rPr>
        <w:t xml:space="preserve">provozní náklady </w:t>
      </w:r>
      <w:r w:rsidRPr="007F7C70">
        <w:rPr>
          <w:sz w:val="24"/>
          <w:lang w:val="cs-CZ"/>
        </w:rPr>
        <w:t xml:space="preserve">na </w:t>
      </w:r>
      <w:r w:rsidRPr="007F7C70">
        <w:rPr>
          <w:spacing w:val="-3"/>
          <w:sz w:val="24"/>
          <w:lang w:val="cs-CZ"/>
        </w:rPr>
        <w:t xml:space="preserve">instalaci </w:t>
      </w:r>
      <w:r w:rsidRPr="007F7C70">
        <w:rPr>
          <w:spacing w:val="-4"/>
          <w:sz w:val="24"/>
          <w:lang w:val="cs-CZ"/>
        </w:rPr>
        <w:t xml:space="preserve">elektroměru, spínacího </w:t>
      </w:r>
      <w:r w:rsidRPr="007F7C70">
        <w:rPr>
          <w:spacing w:val="-3"/>
          <w:sz w:val="24"/>
          <w:lang w:val="cs-CZ"/>
        </w:rPr>
        <w:t xml:space="preserve">prvku, </w:t>
      </w:r>
      <w:r w:rsidRPr="007F7C70">
        <w:rPr>
          <w:spacing w:val="-4"/>
          <w:sz w:val="24"/>
          <w:lang w:val="cs-CZ"/>
        </w:rPr>
        <w:t xml:space="preserve">registračního </w:t>
      </w:r>
      <w:r w:rsidRPr="007F7C70">
        <w:rPr>
          <w:spacing w:val="-3"/>
          <w:sz w:val="24"/>
          <w:lang w:val="cs-CZ"/>
        </w:rPr>
        <w:t xml:space="preserve">přístroje </w:t>
      </w:r>
      <w:r w:rsidRPr="007F7C70">
        <w:rPr>
          <w:sz w:val="24"/>
          <w:lang w:val="cs-CZ"/>
        </w:rPr>
        <w:t xml:space="preserve">a </w:t>
      </w:r>
      <w:r w:rsidRPr="007F7C70">
        <w:rPr>
          <w:spacing w:val="-3"/>
          <w:sz w:val="24"/>
          <w:lang w:val="cs-CZ"/>
        </w:rPr>
        <w:t>modemu</w:t>
      </w:r>
    </w:p>
    <w:p w:rsidR="00F363D7" w:rsidRPr="007F7C70" w:rsidRDefault="00FD5698">
      <w:pPr>
        <w:pStyle w:val="Odstavecseseznamem"/>
        <w:numPr>
          <w:ilvl w:val="2"/>
          <w:numId w:val="3"/>
        </w:numPr>
        <w:tabs>
          <w:tab w:val="left" w:pos="823"/>
          <w:tab w:val="left" w:pos="824"/>
        </w:tabs>
        <w:spacing w:before="2" w:line="293" w:lineRule="exact"/>
        <w:ind w:left="824" w:hanging="348"/>
        <w:rPr>
          <w:sz w:val="24"/>
          <w:lang w:val="cs-CZ"/>
        </w:rPr>
      </w:pPr>
      <w:r w:rsidRPr="007F7C70">
        <w:rPr>
          <w:spacing w:val="-3"/>
          <w:sz w:val="24"/>
          <w:lang w:val="cs-CZ"/>
        </w:rPr>
        <w:t xml:space="preserve">náklady </w:t>
      </w:r>
      <w:r w:rsidRPr="007F7C70">
        <w:rPr>
          <w:sz w:val="24"/>
          <w:lang w:val="cs-CZ"/>
        </w:rPr>
        <w:t xml:space="preserve">na </w:t>
      </w:r>
      <w:r w:rsidRPr="007F7C70">
        <w:rPr>
          <w:spacing w:val="-3"/>
          <w:sz w:val="24"/>
          <w:lang w:val="cs-CZ"/>
        </w:rPr>
        <w:t xml:space="preserve">pravidelné </w:t>
      </w:r>
      <w:r w:rsidRPr="007F7C70">
        <w:rPr>
          <w:spacing w:val="-4"/>
          <w:sz w:val="24"/>
          <w:lang w:val="cs-CZ"/>
        </w:rPr>
        <w:t>ověření</w:t>
      </w:r>
      <w:r w:rsidRPr="007F7C70">
        <w:rPr>
          <w:spacing w:val="-26"/>
          <w:sz w:val="24"/>
          <w:lang w:val="cs-CZ"/>
        </w:rPr>
        <w:t xml:space="preserve"> </w:t>
      </w:r>
      <w:r w:rsidRPr="007F7C70">
        <w:rPr>
          <w:spacing w:val="-4"/>
          <w:sz w:val="24"/>
          <w:lang w:val="cs-CZ"/>
        </w:rPr>
        <w:t>elektroměru</w:t>
      </w:r>
    </w:p>
    <w:p w:rsidR="00F363D7" w:rsidRPr="007F7C70" w:rsidRDefault="00FD5698">
      <w:pPr>
        <w:pStyle w:val="Odstavecseseznamem"/>
        <w:numPr>
          <w:ilvl w:val="2"/>
          <w:numId w:val="3"/>
        </w:numPr>
        <w:tabs>
          <w:tab w:val="left" w:pos="824"/>
        </w:tabs>
        <w:ind w:left="836" w:right="109"/>
        <w:jc w:val="both"/>
        <w:rPr>
          <w:sz w:val="24"/>
          <w:lang w:val="cs-CZ"/>
        </w:rPr>
      </w:pPr>
      <w:r w:rsidRPr="007F7C70">
        <w:rPr>
          <w:spacing w:val="-3"/>
          <w:sz w:val="24"/>
          <w:lang w:val="cs-CZ"/>
        </w:rPr>
        <w:t xml:space="preserve">provozní náklady </w:t>
      </w:r>
      <w:r w:rsidRPr="007F7C70">
        <w:rPr>
          <w:sz w:val="24"/>
          <w:lang w:val="cs-CZ"/>
        </w:rPr>
        <w:t xml:space="preserve">na </w:t>
      </w:r>
      <w:r w:rsidRPr="007F7C70">
        <w:rPr>
          <w:spacing w:val="-3"/>
          <w:sz w:val="24"/>
          <w:lang w:val="cs-CZ"/>
        </w:rPr>
        <w:t xml:space="preserve">přezkoušení měřicího zařízení, zjištění </w:t>
      </w:r>
      <w:r w:rsidRPr="007F7C70">
        <w:rPr>
          <w:spacing w:val="-4"/>
          <w:sz w:val="24"/>
          <w:lang w:val="cs-CZ"/>
        </w:rPr>
        <w:t xml:space="preserve">správnosti jeho </w:t>
      </w:r>
      <w:r w:rsidRPr="007F7C70">
        <w:rPr>
          <w:spacing w:val="-3"/>
          <w:sz w:val="24"/>
          <w:lang w:val="cs-CZ"/>
        </w:rPr>
        <w:t xml:space="preserve">zapojení </w:t>
      </w:r>
      <w:r w:rsidRPr="007F7C70">
        <w:rPr>
          <w:sz w:val="24"/>
          <w:lang w:val="cs-CZ"/>
        </w:rPr>
        <w:t xml:space="preserve">a </w:t>
      </w:r>
      <w:r w:rsidRPr="007F7C70">
        <w:rPr>
          <w:spacing w:val="-3"/>
          <w:sz w:val="24"/>
          <w:lang w:val="cs-CZ"/>
        </w:rPr>
        <w:t>funkce</w:t>
      </w:r>
    </w:p>
    <w:p w:rsidR="00F363D7" w:rsidRPr="007F7C70" w:rsidRDefault="00FD5698">
      <w:pPr>
        <w:pStyle w:val="Odstavecseseznamem"/>
        <w:numPr>
          <w:ilvl w:val="2"/>
          <w:numId w:val="3"/>
        </w:numPr>
        <w:tabs>
          <w:tab w:val="left" w:pos="824"/>
        </w:tabs>
        <w:spacing w:before="3" w:line="237" w:lineRule="auto"/>
        <w:ind w:left="836" w:right="110"/>
        <w:jc w:val="both"/>
        <w:rPr>
          <w:sz w:val="24"/>
          <w:lang w:val="cs-CZ"/>
        </w:rPr>
      </w:pPr>
      <w:r w:rsidRPr="007F7C70">
        <w:rPr>
          <w:spacing w:val="-3"/>
          <w:sz w:val="24"/>
          <w:lang w:val="cs-CZ"/>
        </w:rPr>
        <w:t xml:space="preserve">provozní náklady </w:t>
      </w:r>
      <w:r w:rsidRPr="007F7C70">
        <w:rPr>
          <w:sz w:val="24"/>
          <w:lang w:val="cs-CZ"/>
        </w:rPr>
        <w:t xml:space="preserve">za </w:t>
      </w:r>
      <w:r w:rsidRPr="007F7C70">
        <w:rPr>
          <w:spacing w:val="-3"/>
          <w:sz w:val="24"/>
          <w:lang w:val="cs-CZ"/>
        </w:rPr>
        <w:t xml:space="preserve">přezkoušení </w:t>
      </w:r>
      <w:r w:rsidRPr="007F7C70">
        <w:rPr>
          <w:sz w:val="24"/>
          <w:lang w:val="cs-CZ"/>
        </w:rPr>
        <w:t xml:space="preserve">a </w:t>
      </w:r>
      <w:r w:rsidRPr="007F7C70">
        <w:rPr>
          <w:spacing w:val="-4"/>
          <w:sz w:val="24"/>
          <w:lang w:val="cs-CZ"/>
        </w:rPr>
        <w:t xml:space="preserve">poskytování </w:t>
      </w:r>
      <w:r w:rsidRPr="007F7C70">
        <w:rPr>
          <w:spacing w:val="-3"/>
          <w:sz w:val="24"/>
          <w:lang w:val="cs-CZ"/>
        </w:rPr>
        <w:t xml:space="preserve">dat včetně </w:t>
      </w:r>
      <w:r w:rsidRPr="007F7C70">
        <w:rPr>
          <w:spacing w:val="-4"/>
          <w:sz w:val="24"/>
          <w:lang w:val="cs-CZ"/>
        </w:rPr>
        <w:t xml:space="preserve">provozních nákladů spojených </w:t>
      </w:r>
      <w:r w:rsidRPr="007F7C70">
        <w:rPr>
          <w:sz w:val="24"/>
          <w:lang w:val="cs-CZ"/>
        </w:rPr>
        <w:t xml:space="preserve">s </w:t>
      </w:r>
      <w:r w:rsidRPr="007F7C70">
        <w:rPr>
          <w:spacing w:val="-4"/>
          <w:sz w:val="24"/>
          <w:lang w:val="cs-CZ"/>
        </w:rPr>
        <w:t xml:space="preserve">dálkovým </w:t>
      </w:r>
      <w:r w:rsidRPr="007F7C70">
        <w:rPr>
          <w:spacing w:val="-3"/>
          <w:sz w:val="24"/>
          <w:lang w:val="cs-CZ"/>
        </w:rPr>
        <w:t xml:space="preserve">přenosem </w:t>
      </w:r>
      <w:r w:rsidRPr="007F7C70">
        <w:rPr>
          <w:spacing w:val="-4"/>
          <w:sz w:val="24"/>
          <w:lang w:val="cs-CZ"/>
        </w:rPr>
        <w:t xml:space="preserve">naměřených </w:t>
      </w:r>
      <w:r w:rsidRPr="007F7C70">
        <w:rPr>
          <w:spacing w:val="-3"/>
          <w:sz w:val="24"/>
          <w:lang w:val="cs-CZ"/>
        </w:rPr>
        <w:t xml:space="preserve">hodnot </w:t>
      </w:r>
      <w:r w:rsidRPr="007F7C70">
        <w:rPr>
          <w:sz w:val="24"/>
          <w:lang w:val="cs-CZ"/>
        </w:rPr>
        <w:t xml:space="preserve">a </w:t>
      </w:r>
      <w:r w:rsidRPr="007F7C70">
        <w:rPr>
          <w:spacing w:val="-4"/>
          <w:sz w:val="24"/>
          <w:lang w:val="cs-CZ"/>
        </w:rPr>
        <w:t>jejic</w:t>
      </w:r>
      <w:r w:rsidRPr="007F7C70">
        <w:rPr>
          <w:spacing w:val="-4"/>
          <w:sz w:val="24"/>
          <w:lang w:val="cs-CZ"/>
        </w:rPr>
        <w:t xml:space="preserve">h </w:t>
      </w:r>
      <w:r w:rsidRPr="007F7C70">
        <w:rPr>
          <w:spacing w:val="-3"/>
          <w:sz w:val="24"/>
          <w:lang w:val="cs-CZ"/>
        </w:rPr>
        <w:t xml:space="preserve">dalším </w:t>
      </w:r>
      <w:r w:rsidRPr="007F7C70">
        <w:rPr>
          <w:spacing w:val="-4"/>
          <w:sz w:val="24"/>
          <w:lang w:val="cs-CZ"/>
        </w:rPr>
        <w:t>předáváním oprávněným</w:t>
      </w:r>
      <w:r w:rsidRPr="007F7C70">
        <w:rPr>
          <w:spacing w:val="52"/>
          <w:sz w:val="24"/>
          <w:lang w:val="cs-CZ"/>
        </w:rPr>
        <w:t xml:space="preserve"> </w:t>
      </w:r>
      <w:r w:rsidRPr="007F7C70">
        <w:rPr>
          <w:spacing w:val="-3"/>
          <w:sz w:val="24"/>
          <w:lang w:val="cs-CZ"/>
        </w:rPr>
        <w:t>příjemcům.</w:t>
      </w:r>
    </w:p>
    <w:p w:rsidR="00F363D7" w:rsidRPr="007F7C70" w:rsidRDefault="00FD5698">
      <w:pPr>
        <w:spacing w:before="128"/>
        <w:ind w:left="115"/>
        <w:rPr>
          <w:b/>
          <w:sz w:val="24"/>
          <w:lang w:val="cs-CZ"/>
        </w:rPr>
      </w:pPr>
      <w:r w:rsidRPr="007F7C70">
        <w:rPr>
          <w:b/>
          <w:sz w:val="24"/>
          <w:lang w:val="cs-CZ"/>
        </w:rPr>
        <w:t>Výrobci a zákazníci hradí:</w:t>
      </w:r>
    </w:p>
    <w:p w:rsidR="00F363D7" w:rsidRPr="007F7C70" w:rsidRDefault="00FD5698">
      <w:pPr>
        <w:pStyle w:val="Odstavecseseznamem"/>
        <w:numPr>
          <w:ilvl w:val="2"/>
          <w:numId w:val="3"/>
        </w:numPr>
        <w:tabs>
          <w:tab w:val="left" w:pos="829"/>
        </w:tabs>
        <w:spacing w:before="57"/>
        <w:ind w:left="828" w:right="106" w:hanging="355"/>
        <w:jc w:val="both"/>
        <w:rPr>
          <w:sz w:val="24"/>
          <w:lang w:val="cs-CZ"/>
        </w:rPr>
      </w:pPr>
      <w:r w:rsidRPr="007F7C70">
        <w:rPr>
          <w:spacing w:val="-3"/>
          <w:sz w:val="24"/>
          <w:lang w:val="cs-CZ"/>
        </w:rPr>
        <w:t xml:space="preserve">pořizovací </w:t>
      </w:r>
      <w:r w:rsidRPr="007F7C70">
        <w:rPr>
          <w:sz w:val="24"/>
          <w:lang w:val="cs-CZ"/>
        </w:rPr>
        <w:t xml:space="preserve">a </w:t>
      </w:r>
      <w:r w:rsidRPr="007F7C70">
        <w:rPr>
          <w:spacing w:val="-3"/>
          <w:sz w:val="24"/>
          <w:lang w:val="cs-CZ"/>
        </w:rPr>
        <w:t xml:space="preserve">instalační náklady </w:t>
      </w:r>
      <w:r w:rsidRPr="007F7C70">
        <w:rPr>
          <w:sz w:val="24"/>
          <w:lang w:val="cs-CZ"/>
        </w:rPr>
        <w:t xml:space="preserve">na </w:t>
      </w:r>
      <w:r w:rsidRPr="007F7C70">
        <w:rPr>
          <w:spacing w:val="-3"/>
          <w:sz w:val="24"/>
          <w:lang w:val="cs-CZ"/>
        </w:rPr>
        <w:t xml:space="preserve">měřicí </w:t>
      </w:r>
      <w:r w:rsidRPr="007F7C70">
        <w:rPr>
          <w:spacing w:val="-4"/>
          <w:sz w:val="24"/>
          <w:lang w:val="cs-CZ"/>
        </w:rPr>
        <w:t xml:space="preserve">transformátory, </w:t>
      </w:r>
      <w:r w:rsidRPr="007F7C70">
        <w:rPr>
          <w:spacing w:val="-3"/>
          <w:sz w:val="24"/>
          <w:lang w:val="cs-CZ"/>
        </w:rPr>
        <w:t xml:space="preserve">náklady </w:t>
      </w:r>
      <w:r w:rsidRPr="007F7C70">
        <w:rPr>
          <w:sz w:val="24"/>
          <w:lang w:val="cs-CZ"/>
        </w:rPr>
        <w:t xml:space="preserve">na </w:t>
      </w:r>
      <w:r w:rsidRPr="007F7C70">
        <w:rPr>
          <w:spacing w:val="-3"/>
          <w:sz w:val="24"/>
          <w:lang w:val="cs-CZ"/>
        </w:rPr>
        <w:t xml:space="preserve">jejich ověření, dále pořizovací náklady </w:t>
      </w:r>
      <w:r w:rsidRPr="007F7C70">
        <w:rPr>
          <w:sz w:val="24"/>
          <w:lang w:val="cs-CZ"/>
        </w:rPr>
        <w:t xml:space="preserve">na </w:t>
      </w:r>
      <w:r w:rsidRPr="007F7C70">
        <w:rPr>
          <w:spacing w:val="-3"/>
          <w:sz w:val="24"/>
          <w:lang w:val="cs-CZ"/>
        </w:rPr>
        <w:t xml:space="preserve">příslušná </w:t>
      </w:r>
      <w:proofErr w:type="gramStart"/>
      <w:r w:rsidRPr="007F7C70">
        <w:rPr>
          <w:spacing w:val="-4"/>
          <w:sz w:val="24"/>
          <w:lang w:val="cs-CZ"/>
        </w:rPr>
        <w:t>spojovací  vedení</w:t>
      </w:r>
      <w:proofErr w:type="gramEnd"/>
      <w:r w:rsidRPr="007F7C70">
        <w:rPr>
          <w:spacing w:val="52"/>
          <w:sz w:val="24"/>
          <w:lang w:val="cs-CZ"/>
        </w:rPr>
        <w:t xml:space="preserve"> </w:t>
      </w:r>
      <w:r w:rsidRPr="007F7C70">
        <w:rPr>
          <w:spacing w:val="-4"/>
          <w:sz w:val="24"/>
          <w:lang w:val="cs-CZ"/>
        </w:rPr>
        <w:t>(kabely),</w:t>
      </w:r>
      <w:r w:rsidRPr="007F7C70">
        <w:rPr>
          <w:spacing w:val="52"/>
          <w:sz w:val="24"/>
          <w:lang w:val="cs-CZ"/>
        </w:rPr>
        <w:t xml:space="preserve"> </w:t>
      </w:r>
      <w:r w:rsidRPr="007F7C70">
        <w:rPr>
          <w:sz w:val="24"/>
          <w:lang w:val="cs-CZ"/>
        </w:rPr>
        <w:t xml:space="preserve">na </w:t>
      </w:r>
      <w:r w:rsidRPr="007F7C70">
        <w:rPr>
          <w:spacing w:val="-3"/>
          <w:sz w:val="24"/>
          <w:lang w:val="cs-CZ"/>
        </w:rPr>
        <w:t xml:space="preserve">měřicí skříně nebo rozváděče, </w:t>
      </w:r>
      <w:r w:rsidRPr="007F7C70">
        <w:rPr>
          <w:sz w:val="24"/>
          <w:lang w:val="cs-CZ"/>
        </w:rPr>
        <w:t xml:space="preserve">na </w:t>
      </w:r>
      <w:r w:rsidRPr="007F7C70">
        <w:rPr>
          <w:spacing w:val="-3"/>
          <w:sz w:val="24"/>
          <w:lang w:val="cs-CZ"/>
        </w:rPr>
        <w:t>z</w:t>
      </w:r>
      <w:r w:rsidRPr="007F7C70">
        <w:rPr>
          <w:spacing w:val="-3"/>
          <w:sz w:val="24"/>
          <w:lang w:val="cs-CZ"/>
        </w:rPr>
        <w:t xml:space="preserve">kušební </w:t>
      </w:r>
      <w:r w:rsidRPr="007F7C70">
        <w:rPr>
          <w:spacing w:val="-4"/>
          <w:sz w:val="24"/>
          <w:lang w:val="cs-CZ"/>
        </w:rPr>
        <w:t xml:space="preserve">svorkovnice, </w:t>
      </w:r>
      <w:r w:rsidRPr="007F7C70">
        <w:rPr>
          <w:sz w:val="24"/>
          <w:lang w:val="cs-CZ"/>
        </w:rPr>
        <w:t xml:space="preserve">na </w:t>
      </w:r>
      <w:r w:rsidRPr="007F7C70">
        <w:rPr>
          <w:spacing w:val="-4"/>
          <w:sz w:val="24"/>
          <w:lang w:val="cs-CZ"/>
        </w:rPr>
        <w:t xml:space="preserve">pojistkové </w:t>
      </w:r>
      <w:r w:rsidRPr="007F7C70">
        <w:rPr>
          <w:spacing w:val="-3"/>
          <w:sz w:val="24"/>
          <w:lang w:val="cs-CZ"/>
        </w:rPr>
        <w:t xml:space="preserve">odpojovače (jištění), </w:t>
      </w:r>
      <w:r w:rsidRPr="007F7C70">
        <w:rPr>
          <w:sz w:val="24"/>
          <w:lang w:val="cs-CZ"/>
        </w:rPr>
        <w:t xml:space="preserve">na </w:t>
      </w:r>
      <w:r w:rsidRPr="007F7C70">
        <w:rPr>
          <w:spacing w:val="-3"/>
          <w:sz w:val="24"/>
          <w:lang w:val="cs-CZ"/>
        </w:rPr>
        <w:t xml:space="preserve">příslušná rozhraní </w:t>
      </w:r>
      <w:r w:rsidRPr="007F7C70">
        <w:rPr>
          <w:spacing w:val="-4"/>
          <w:sz w:val="24"/>
          <w:lang w:val="cs-CZ"/>
        </w:rPr>
        <w:t>(</w:t>
      </w:r>
      <w:proofErr w:type="spellStart"/>
      <w:r w:rsidRPr="007F7C70">
        <w:rPr>
          <w:spacing w:val="-4"/>
          <w:sz w:val="24"/>
          <w:lang w:val="cs-CZ"/>
        </w:rPr>
        <w:t>optorozhraní</w:t>
      </w:r>
      <w:proofErr w:type="spellEnd"/>
      <w:r w:rsidRPr="007F7C70">
        <w:rPr>
          <w:spacing w:val="-4"/>
          <w:sz w:val="24"/>
          <w:lang w:val="cs-CZ"/>
        </w:rPr>
        <w:t xml:space="preserve"> </w:t>
      </w:r>
      <w:r w:rsidRPr="007F7C70">
        <w:rPr>
          <w:spacing w:val="-3"/>
          <w:sz w:val="24"/>
          <w:lang w:val="cs-CZ"/>
        </w:rPr>
        <w:t xml:space="preserve">nebo relé) </w:t>
      </w:r>
      <w:r w:rsidRPr="007F7C70">
        <w:rPr>
          <w:sz w:val="24"/>
          <w:lang w:val="cs-CZ"/>
        </w:rPr>
        <w:t xml:space="preserve">v </w:t>
      </w:r>
      <w:r w:rsidRPr="007F7C70">
        <w:rPr>
          <w:spacing w:val="-3"/>
          <w:sz w:val="24"/>
          <w:lang w:val="cs-CZ"/>
        </w:rPr>
        <w:t xml:space="preserve">případě </w:t>
      </w:r>
      <w:r w:rsidRPr="007F7C70">
        <w:rPr>
          <w:spacing w:val="-4"/>
          <w:sz w:val="24"/>
          <w:lang w:val="cs-CZ"/>
        </w:rPr>
        <w:t xml:space="preserve">vlastního využívání </w:t>
      </w:r>
      <w:r w:rsidRPr="007F7C70">
        <w:rPr>
          <w:spacing w:val="-3"/>
          <w:sz w:val="24"/>
          <w:lang w:val="cs-CZ"/>
        </w:rPr>
        <w:t xml:space="preserve">impulsů </w:t>
      </w:r>
      <w:r w:rsidRPr="007F7C70">
        <w:rPr>
          <w:sz w:val="24"/>
          <w:lang w:val="cs-CZ"/>
        </w:rPr>
        <w:t xml:space="preserve">z </w:t>
      </w:r>
      <w:r w:rsidRPr="007F7C70">
        <w:rPr>
          <w:spacing w:val="-3"/>
          <w:sz w:val="24"/>
          <w:lang w:val="cs-CZ"/>
        </w:rPr>
        <w:t xml:space="preserve">měřicího zařízení </w:t>
      </w:r>
      <w:r w:rsidRPr="007F7C70">
        <w:rPr>
          <w:sz w:val="24"/>
          <w:lang w:val="cs-CZ"/>
        </w:rPr>
        <w:t xml:space="preserve">a na </w:t>
      </w:r>
      <w:r w:rsidRPr="007F7C70">
        <w:rPr>
          <w:spacing w:val="-4"/>
          <w:sz w:val="24"/>
          <w:lang w:val="cs-CZ"/>
        </w:rPr>
        <w:t>stykače</w:t>
      </w:r>
      <w:r w:rsidRPr="007F7C70">
        <w:rPr>
          <w:spacing w:val="-23"/>
          <w:sz w:val="24"/>
          <w:lang w:val="cs-CZ"/>
        </w:rPr>
        <w:t xml:space="preserve"> </w:t>
      </w:r>
      <w:r w:rsidRPr="007F7C70">
        <w:rPr>
          <w:spacing w:val="-3"/>
          <w:sz w:val="24"/>
          <w:lang w:val="cs-CZ"/>
        </w:rPr>
        <w:t>blokování.</w:t>
      </w:r>
    </w:p>
    <w:p w:rsidR="00F363D7" w:rsidRPr="007F7C70" w:rsidRDefault="00FD5698">
      <w:pPr>
        <w:pStyle w:val="Odstavecseseznamem"/>
        <w:numPr>
          <w:ilvl w:val="2"/>
          <w:numId w:val="3"/>
        </w:numPr>
        <w:tabs>
          <w:tab w:val="left" w:pos="829"/>
        </w:tabs>
        <w:spacing w:before="61" w:line="237" w:lineRule="auto"/>
        <w:ind w:left="828" w:right="114" w:hanging="355"/>
        <w:jc w:val="both"/>
        <w:rPr>
          <w:sz w:val="24"/>
          <w:lang w:val="cs-CZ"/>
        </w:rPr>
      </w:pPr>
      <w:r w:rsidRPr="007F7C70">
        <w:rPr>
          <w:spacing w:val="-3"/>
          <w:sz w:val="24"/>
          <w:lang w:val="cs-CZ"/>
        </w:rPr>
        <w:t xml:space="preserve">pořizovací náklady </w:t>
      </w:r>
      <w:r w:rsidRPr="007F7C70">
        <w:rPr>
          <w:sz w:val="24"/>
          <w:lang w:val="cs-CZ"/>
        </w:rPr>
        <w:t xml:space="preserve">na </w:t>
      </w:r>
      <w:r w:rsidRPr="007F7C70">
        <w:rPr>
          <w:spacing w:val="-3"/>
          <w:sz w:val="24"/>
          <w:lang w:val="cs-CZ"/>
        </w:rPr>
        <w:t xml:space="preserve">telefonní linku (včetně </w:t>
      </w:r>
      <w:r w:rsidRPr="007F7C70">
        <w:rPr>
          <w:spacing w:val="-4"/>
          <w:sz w:val="24"/>
          <w:lang w:val="cs-CZ"/>
        </w:rPr>
        <w:t xml:space="preserve">napájení </w:t>
      </w:r>
      <w:r w:rsidRPr="007F7C70">
        <w:rPr>
          <w:spacing w:val="-3"/>
          <w:sz w:val="24"/>
          <w:lang w:val="cs-CZ"/>
        </w:rPr>
        <w:t xml:space="preserve">pro modem) </w:t>
      </w:r>
      <w:r w:rsidRPr="007F7C70">
        <w:rPr>
          <w:sz w:val="24"/>
          <w:lang w:val="cs-CZ"/>
        </w:rPr>
        <w:t xml:space="preserve">a </w:t>
      </w:r>
      <w:r w:rsidRPr="007F7C70">
        <w:rPr>
          <w:spacing w:val="-3"/>
          <w:sz w:val="24"/>
          <w:lang w:val="cs-CZ"/>
        </w:rPr>
        <w:t xml:space="preserve">náklady </w:t>
      </w:r>
      <w:r w:rsidRPr="007F7C70">
        <w:rPr>
          <w:sz w:val="24"/>
          <w:lang w:val="cs-CZ"/>
        </w:rPr>
        <w:t xml:space="preserve">na </w:t>
      </w:r>
      <w:r w:rsidRPr="007F7C70">
        <w:rPr>
          <w:spacing w:val="-3"/>
          <w:sz w:val="24"/>
          <w:lang w:val="cs-CZ"/>
        </w:rPr>
        <w:t xml:space="preserve">provoz telefonní </w:t>
      </w:r>
      <w:r w:rsidRPr="007F7C70">
        <w:rPr>
          <w:sz w:val="24"/>
          <w:lang w:val="cs-CZ"/>
        </w:rPr>
        <w:t xml:space="preserve">linky </w:t>
      </w:r>
      <w:r w:rsidRPr="007F7C70">
        <w:rPr>
          <w:spacing w:val="-3"/>
          <w:sz w:val="24"/>
          <w:lang w:val="cs-CZ"/>
        </w:rPr>
        <w:t xml:space="preserve">(paušál) </w:t>
      </w:r>
      <w:r w:rsidRPr="007F7C70">
        <w:rPr>
          <w:sz w:val="24"/>
          <w:lang w:val="cs-CZ"/>
        </w:rPr>
        <w:t xml:space="preserve">- u </w:t>
      </w:r>
      <w:r w:rsidRPr="007F7C70">
        <w:rPr>
          <w:spacing w:val="-3"/>
          <w:sz w:val="24"/>
          <w:lang w:val="cs-CZ"/>
        </w:rPr>
        <w:t xml:space="preserve">měření </w:t>
      </w:r>
      <w:r w:rsidRPr="007F7C70">
        <w:rPr>
          <w:spacing w:val="-4"/>
          <w:sz w:val="24"/>
          <w:lang w:val="cs-CZ"/>
        </w:rPr>
        <w:t>typu</w:t>
      </w:r>
      <w:r w:rsidRPr="007F7C70">
        <w:rPr>
          <w:spacing w:val="-40"/>
          <w:sz w:val="24"/>
          <w:lang w:val="cs-CZ"/>
        </w:rPr>
        <w:t xml:space="preserve"> </w:t>
      </w:r>
      <w:r w:rsidRPr="007F7C70">
        <w:rPr>
          <w:sz w:val="24"/>
          <w:lang w:val="cs-CZ"/>
        </w:rPr>
        <w:t>A</w:t>
      </w:r>
    </w:p>
    <w:p w:rsidR="00F363D7" w:rsidRPr="007F7C70" w:rsidRDefault="00F363D7">
      <w:pPr>
        <w:pStyle w:val="Zkladntext"/>
        <w:rPr>
          <w:sz w:val="26"/>
          <w:lang w:val="cs-CZ"/>
        </w:rPr>
      </w:pPr>
    </w:p>
    <w:p w:rsidR="00F363D7" w:rsidRPr="007F7C70" w:rsidRDefault="00F363D7">
      <w:pPr>
        <w:pStyle w:val="Zkladntext"/>
        <w:rPr>
          <w:sz w:val="26"/>
          <w:lang w:val="cs-CZ"/>
        </w:rPr>
      </w:pPr>
    </w:p>
    <w:p w:rsidR="00F363D7" w:rsidRPr="007F7C70" w:rsidRDefault="00F363D7">
      <w:pPr>
        <w:pStyle w:val="Zkladntext"/>
        <w:spacing w:before="7"/>
        <w:rPr>
          <w:lang w:val="cs-CZ"/>
        </w:rPr>
      </w:pPr>
    </w:p>
    <w:p w:rsidR="00F363D7" w:rsidRPr="007F7C70" w:rsidRDefault="00FD5698">
      <w:pPr>
        <w:pStyle w:val="Nadpis1"/>
        <w:numPr>
          <w:ilvl w:val="0"/>
          <w:numId w:val="3"/>
        </w:numPr>
        <w:tabs>
          <w:tab w:val="left" w:pos="547"/>
          <w:tab w:val="left" w:pos="548"/>
        </w:tabs>
        <w:rPr>
          <w:lang w:val="cs-CZ"/>
        </w:rPr>
      </w:pPr>
      <w:bookmarkStart w:id="22" w:name="_TOC_250007"/>
      <w:r w:rsidRPr="007F7C70">
        <w:rPr>
          <w:lang w:val="cs-CZ"/>
        </w:rPr>
        <w:t>Údržba a odečty měřicího</w:t>
      </w:r>
      <w:r w:rsidRPr="007F7C70">
        <w:rPr>
          <w:spacing w:val="-3"/>
          <w:lang w:val="cs-CZ"/>
        </w:rPr>
        <w:t xml:space="preserve"> </w:t>
      </w:r>
      <w:bookmarkEnd w:id="22"/>
      <w:r w:rsidRPr="007F7C70">
        <w:rPr>
          <w:lang w:val="cs-CZ"/>
        </w:rPr>
        <w:t>zařízení</w:t>
      </w:r>
    </w:p>
    <w:p w:rsidR="00F363D7" w:rsidRPr="007F7C70" w:rsidRDefault="00F363D7">
      <w:pPr>
        <w:pStyle w:val="Zkladntext"/>
        <w:spacing w:before="8"/>
        <w:rPr>
          <w:b/>
          <w:sz w:val="30"/>
          <w:lang w:val="cs-CZ"/>
        </w:rPr>
      </w:pPr>
    </w:p>
    <w:p w:rsidR="00F363D7" w:rsidRPr="007F7C70" w:rsidRDefault="00FD5698">
      <w:pPr>
        <w:pStyle w:val="Nadpis2"/>
        <w:numPr>
          <w:ilvl w:val="1"/>
          <w:numId w:val="3"/>
        </w:numPr>
        <w:tabs>
          <w:tab w:val="left" w:pos="691"/>
          <w:tab w:val="left" w:pos="692"/>
        </w:tabs>
        <w:rPr>
          <w:lang w:val="cs-CZ"/>
        </w:rPr>
      </w:pPr>
      <w:bookmarkStart w:id="23" w:name="_TOC_250006"/>
      <w:bookmarkEnd w:id="23"/>
      <w:r w:rsidRPr="007F7C70">
        <w:rPr>
          <w:lang w:val="cs-CZ"/>
        </w:rPr>
        <w:t>Úvod</w:t>
      </w:r>
    </w:p>
    <w:p w:rsidR="00F363D7" w:rsidRPr="007F7C70" w:rsidRDefault="00FD5698">
      <w:pPr>
        <w:pStyle w:val="Zkladntext"/>
        <w:spacing w:before="105"/>
        <w:ind w:left="547" w:right="112"/>
        <w:jc w:val="both"/>
        <w:rPr>
          <w:lang w:val="cs-CZ"/>
        </w:rPr>
      </w:pPr>
      <w:r w:rsidRPr="007F7C70">
        <w:rPr>
          <w:lang w:val="cs-CZ"/>
        </w:rPr>
        <w:t xml:space="preserve">Jakékoliv zásahy do měřicího zařízení bez souhlasu PLDS jsou zakázány. Uživatel </w:t>
      </w:r>
      <w:proofErr w:type="gramStart"/>
      <w:r w:rsidRPr="007F7C70">
        <w:rPr>
          <w:lang w:val="cs-CZ"/>
        </w:rPr>
        <w:t>LDS  je</w:t>
      </w:r>
      <w:proofErr w:type="gramEnd"/>
      <w:r w:rsidRPr="007F7C70">
        <w:rPr>
          <w:lang w:val="cs-CZ"/>
        </w:rPr>
        <w:t xml:space="preserve"> povinen umožnit PLDS přístup k měřicímu zařízení a neměřeným částem elektrického zařízení za účelem provedení kontroly, odečtu, údržby, výměny nebo odebrání měřicího za</w:t>
      </w:r>
      <w:r w:rsidRPr="007F7C70">
        <w:rPr>
          <w:lang w:val="cs-CZ"/>
        </w:rPr>
        <w:t>řízení. Dále je povinen chránit měřicí zařízení před poškozením a neprodleně nahlásit PLDS závady na měřicím zařízení včetně porušení zajištění proti neoprávněné</w:t>
      </w:r>
      <w:r w:rsidRPr="007F7C70">
        <w:rPr>
          <w:spacing w:val="22"/>
          <w:lang w:val="cs-CZ"/>
        </w:rPr>
        <w:t xml:space="preserve"> </w:t>
      </w:r>
      <w:r w:rsidRPr="007F7C70">
        <w:rPr>
          <w:lang w:val="cs-CZ"/>
        </w:rPr>
        <w:t>manipulaci</w:t>
      </w:r>
    </w:p>
    <w:p w:rsidR="00F363D7" w:rsidRPr="007F7C70" w:rsidRDefault="00FD5698">
      <w:pPr>
        <w:pStyle w:val="Zkladntext"/>
        <w:ind w:left="547"/>
        <w:rPr>
          <w:lang w:val="cs-CZ"/>
        </w:rPr>
      </w:pPr>
      <w:r w:rsidRPr="007F7C70">
        <w:rPr>
          <w:lang w:val="cs-CZ"/>
        </w:rPr>
        <w:t>- §49, [1].</w:t>
      </w:r>
    </w:p>
    <w:p w:rsidR="00F363D7" w:rsidRPr="007F7C70" w:rsidRDefault="00F363D7">
      <w:pPr>
        <w:pStyle w:val="Zkladntext"/>
        <w:spacing w:before="9"/>
        <w:rPr>
          <w:sz w:val="31"/>
          <w:lang w:val="cs-CZ"/>
        </w:rPr>
      </w:pPr>
    </w:p>
    <w:p w:rsidR="00F363D7" w:rsidRPr="007F7C70" w:rsidRDefault="00FD5698">
      <w:pPr>
        <w:pStyle w:val="Nadpis2"/>
        <w:numPr>
          <w:ilvl w:val="1"/>
          <w:numId w:val="3"/>
        </w:numPr>
        <w:tabs>
          <w:tab w:val="left" w:pos="691"/>
          <w:tab w:val="left" w:pos="692"/>
        </w:tabs>
        <w:rPr>
          <w:lang w:val="cs-CZ"/>
        </w:rPr>
      </w:pPr>
      <w:bookmarkStart w:id="24" w:name="_TOC_250005"/>
      <w:r w:rsidRPr="007F7C70">
        <w:rPr>
          <w:lang w:val="cs-CZ"/>
        </w:rPr>
        <w:t>Údržba měřicího</w:t>
      </w:r>
      <w:r w:rsidRPr="007F7C70">
        <w:rPr>
          <w:spacing w:val="1"/>
          <w:lang w:val="cs-CZ"/>
        </w:rPr>
        <w:t xml:space="preserve"> </w:t>
      </w:r>
      <w:bookmarkEnd w:id="24"/>
      <w:r w:rsidRPr="007F7C70">
        <w:rPr>
          <w:lang w:val="cs-CZ"/>
        </w:rPr>
        <w:t>zařízení</w:t>
      </w:r>
    </w:p>
    <w:p w:rsidR="00F363D7" w:rsidRPr="007F7C70" w:rsidRDefault="00FD5698">
      <w:pPr>
        <w:pStyle w:val="Zkladntext"/>
        <w:spacing w:before="107"/>
        <w:ind w:left="547" w:right="111"/>
        <w:jc w:val="both"/>
        <w:rPr>
          <w:lang w:val="cs-CZ"/>
        </w:rPr>
      </w:pPr>
      <w:r w:rsidRPr="007F7C70">
        <w:rPr>
          <w:lang w:val="cs-CZ"/>
        </w:rPr>
        <w:t>Údržbu a diagnostiku poruch měřicího zařízení</w:t>
      </w:r>
      <w:r w:rsidRPr="007F7C70">
        <w:rPr>
          <w:lang w:val="cs-CZ"/>
        </w:rPr>
        <w:t xml:space="preserve"> kromě měřicích transformátorů zajišťuje PLDS. PLDS zajišťuje pro eventuální potřebnou výměnu elektroměr, registrační přístroj a komunikační zařízení (modem). Uživatel LDS na základě pokynů nebo se souhlasem provozovatele LDS zajišťuje při poruše nebo reko</w:t>
      </w:r>
      <w:r w:rsidRPr="007F7C70">
        <w:rPr>
          <w:lang w:val="cs-CZ"/>
        </w:rPr>
        <w:t>nstrukci přístroje pro výměnu dalších částí měřicího zařízení a údržbu měřicích transformátorů včetně jejich případné výměny. Závady na měřicím zařízení musí být odstraněny v co nejkratším termínu.</w:t>
      </w:r>
    </w:p>
    <w:p w:rsidR="00F363D7" w:rsidRPr="007F7C70" w:rsidRDefault="00F363D7">
      <w:pPr>
        <w:pStyle w:val="Zkladntext"/>
        <w:spacing w:before="9"/>
        <w:rPr>
          <w:sz w:val="31"/>
          <w:lang w:val="cs-CZ"/>
        </w:rPr>
      </w:pPr>
    </w:p>
    <w:p w:rsidR="00F363D7" w:rsidRPr="007F7C70" w:rsidRDefault="00FD5698">
      <w:pPr>
        <w:pStyle w:val="Nadpis2"/>
        <w:numPr>
          <w:ilvl w:val="1"/>
          <w:numId w:val="3"/>
        </w:numPr>
        <w:tabs>
          <w:tab w:val="left" w:pos="691"/>
          <w:tab w:val="left" w:pos="692"/>
        </w:tabs>
        <w:rPr>
          <w:lang w:val="cs-CZ"/>
        </w:rPr>
      </w:pPr>
      <w:bookmarkStart w:id="25" w:name="_TOC_250004"/>
      <w:r w:rsidRPr="007F7C70">
        <w:rPr>
          <w:lang w:val="cs-CZ"/>
        </w:rPr>
        <w:t>Ověřování měřicího</w:t>
      </w:r>
      <w:r w:rsidRPr="007F7C70">
        <w:rPr>
          <w:spacing w:val="-1"/>
          <w:lang w:val="cs-CZ"/>
        </w:rPr>
        <w:t xml:space="preserve"> </w:t>
      </w:r>
      <w:bookmarkEnd w:id="25"/>
      <w:r w:rsidRPr="007F7C70">
        <w:rPr>
          <w:lang w:val="cs-CZ"/>
        </w:rPr>
        <w:t>zařízení</w:t>
      </w:r>
    </w:p>
    <w:p w:rsidR="00F363D7" w:rsidRPr="007F7C70" w:rsidRDefault="00FD5698">
      <w:pPr>
        <w:pStyle w:val="Zkladntext"/>
        <w:spacing w:before="104"/>
        <w:ind w:left="547" w:right="110"/>
        <w:jc w:val="both"/>
        <w:rPr>
          <w:lang w:val="cs-CZ"/>
        </w:rPr>
      </w:pPr>
      <w:r w:rsidRPr="007F7C70">
        <w:rPr>
          <w:lang w:val="cs-CZ"/>
        </w:rPr>
        <w:t>Ověřování elektroměru zajišťu</w:t>
      </w:r>
      <w:r w:rsidRPr="007F7C70">
        <w:rPr>
          <w:lang w:val="cs-CZ"/>
        </w:rPr>
        <w:t xml:space="preserve">je PLDS. Doba platnosti ověření stanovených měřidel je stanovena přílohou vyhlášky [4] v platném znění. PLDS může v případě potřeby předepsanou dobu platnosti ověření u vlastního zařízení (elektroměru) zkrátit. Ověření měřicích transformátorů zajišťuje na </w:t>
      </w:r>
      <w:r w:rsidRPr="007F7C70">
        <w:rPr>
          <w:lang w:val="cs-CZ"/>
        </w:rPr>
        <w:t>své náklady provozovatel silového zařízení (uživatel LDS), ve kterém jsou měřicí transformátory zapojeny.</w:t>
      </w:r>
    </w:p>
    <w:p w:rsidR="00F363D7" w:rsidRPr="007F7C70" w:rsidRDefault="00F363D7">
      <w:pPr>
        <w:jc w:val="both"/>
        <w:rPr>
          <w:lang w:val="cs-CZ"/>
        </w:rPr>
        <w:sectPr w:rsidR="00F363D7" w:rsidRPr="007F7C70">
          <w:pgSz w:w="11900" w:h="16840"/>
          <w:pgMar w:top="1060" w:right="1240" w:bottom="1220" w:left="1300" w:header="0" w:footer="1037" w:gutter="0"/>
          <w:cols w:space="708"/>
        </w:sectPr>
      </w:pPr>
    </w:p>
    <w:p w:rsidR="00F363D7" w:rsidRPr="007F7C70" w:rsidRDefault="00FD5698">
      <w:pPr>
        <w:pStyle w:val="Nadpis2"/>
        <w:numPr>
          <w:ilvl w:val="1"/>
          <w:numId w:val="3"/>
        </w:numPr>
        <w:tabs>
          <w:tab w:val="left" w:pos="691"/>
          <w:tab w:val="left" w:pos="692"/>
        </w:tabs>
        <w:spacing w:before="70"/>
        <w:rPr>
          <w:lang w:val="cs-CZ"/>
        </w:rPr>
      </w:pPr>
      <w:bookmarkStart w:id="26" w:name="_TOC_250003"/>
      <w:r w:rsidRPr="007F7C70">
        <w:rPr>
          <w:lang w:val="cs-CZ"/>
        </w:rPr>
        <w:lastRenderedPageBreak/>
        <w:t>Změna typu a parametrů měřicího</w:t>
      </w:r>
      <w:r w:rsidRPr="007F7C70">
        <w:rPr>
          <w:spacing w:val="1"/>
          <w:lang w:val="cs-CZ"/>
        </w:rPr>
        <w:t xml:space="preserve"> </w:t>
      </w:r>
      <w:bookmarkEnd w:id="26"/>
      <w:r w:rsidRPr="007F7C70">
        <w:rPr>
          <w:lang w:val="cs-CZ"/>
        </w:rPr>
        <w:t>zařízení</w:t>
      </w:r>
    </w:p>
    <w:p w:rsidR="00F363D7" w:rsidRPr="007F7C70" w:rsidRDefault="00FD5698">
      <w:pPr>
        <w:pStyle w:val="Zkladntext"/>
        <w:spacing w:before="107"/>
        <w:ind w:left="547" w:right="111"/>
        <w:jc w:val="both"/>
        <w:rPr>
          <w:lang w:val="cs-CZ"/>
        </w:rPr>
      </w:pPr>
      <w:r w:rsidRPr="007F7C70">
        <w:rPr>
          <w:lang w:val="cs-CZ"/>
        </w:rPr>
        <w:t xml:space="preserve">Způsob měření elektřiny, </w:t>
      </w:r>
      <w:r w:rsidRPr="007F7C70">
        <w:rPr>
          <w:spacing w:val="-2"/>
          <w:lang w:val="cs-CZ"/>
        </w:rPr>
        <w:t xml:space="preserve">typ </w:t>
      </w:r>
      <w:r w:rsidRPr="007F7C70">
        <w:rPr>
          <w:lang w:val="cs-CZ"/>
        </w:rPr>
        <w:t>a umístění měřicího zařízení určuje PLDS v závislosti na chara</w:t>
      </w:r>
      <w:r w:rsidRPr="007F7C70">
        <w:rPr>
          <w:lang w:val="cs-CZ"/>
        </w:rPr>
        <w:t xml:space="preserve">kteru a velikosti odběru elektřiny odběrného zařízení uživatele LDS. PLDS je oprávněn změnit typ měřicího zařízení. Pokud je tato změna vynucena změnou právních předpisů nebo je prováděna z důvodů vyvolaných uživatelem LDS, je uživatel LDS povinen upravit </w:t>
      </w:r>
      <w:r w:rsidRPr="007F7C70">
        <w:rPr>
          <w:lang w:val="cs-CZ"/>
        </w:rPr>
        <w:t>na svůj náklad předávací místo nebo odběrné zařízení pro instalaci nového typu měřicího zařízení. Při změně předávaného výkonu výrobny nebo rezervovaného příkonu je provozovatel LDS oprávněn požadovat po výrobci nebo zákazníkovi změnu parametrů měřicích tr</w:t>
      </w:r>
      <w:r w:rsidRPr="007F7C70">
        <w:rPr>
          <w:lang w:val="cs-CZ"/>
        </w:rPr>
        <w:t>ansformátorů spojenou se změnou rezervovaného</w:t>
      </w:r>
      <w:r w:rsidRPr="007F7C70">
        <w:rPr>
          <w:spacing w:val="-1"/>
          <w:lang w:val="cs-CZ"/>
        </w:rPr>
        <w:t xml:space="preserve"> </w:t>
      </w:r>
      <w:r w:rsidRPr="007F7C70">
        <w:rPr>
          <w:lang w:val="cs-CZ"/>
        </w:rPr>
        <w:t>příkonu.</w:t>
      </w:r>
    </w:p>
    <w:p w:rsidR="00F363D7" w:rsidRPr="007F7C70" w:rsidRDefault="00F363D7">
      <w:pPr>
        <w:pStyle w:val="Zkladntext"/>
        <w:spacing w:before="9"/>
        <w:rPr>
          <w:sz w:val="31"/>
          <w:lang w:val="cs-CZ"/>
        </w:rPr>
      </w:pPr>
    </w:p>
    <w:p w:rsidR="00F363D7" w:rsidRPr="007F7C70" w:rsidRDefault="00FD5698">
      <w:pPr>
        <w:pStyle w:val="Nadpis2"/>
        <w:numPr>
          <w:ilvl w:val="1"/>
          <w:numId w:val="3"/>
        </w:numPr>
        <w:tabs>
          <w:tab w:val="left" w:pos="691"/>
          <w:tab w:val="left" w:pos="692"/>
        </w:tabs>
        <w:rPr>
          <w:lang w:val="cs-CZ"/>
        </w:rPr>
      </w:pPr>
      <w:bookmarkStart w:id="27" w:name="_TOC_250002"/>
      <w:r w:rsidRPr="007F7C70">
        <w:rPr>
          <w:lang w:val="cs-CZ"/>
        </w:rPr>
        <w:t>Odečty měřicího</w:t>
      </w:r>
      <w:r w:rsidRPr="007F7C70">
        <w:rPr>
          <w:spacing w:val="1"/>
          <w:lang w:val="cs-CZ"/>
        </w:rPr>
        <w:t xml:space="preserve"> </w:t>
      </w:r>
      <w:bookmarkEnd w:id="27"/>
      <w:r w:rsidRPr="007F7C70">
        <w:rPr>
          <w:lang w:val="cs-CZ"/>
        </w:rPr>
        <w:t>zařízení</w:t>
      </w:r>
    </w:p>
    <w:p w:rsidR="00F363D7" w:rsidRPr="007F7C70" w:rsidRDefault="00FD5698">
      <w:pPr>
        <w:pStyle w:val="Zkladntext"/>
        <w:spacing w:before="107"/>
        <w:ind w:left="547" w:right="109"/>
        <w:jc w:val="both"/>
        <w:rPr>
          <w:lang w:val="cs-CZ"/>
        </w:rPr>
      </w:pPr>
      <w:r w:rsidRPr="007F7C70">
        <w:rPr>
          <w:lang w:val="cs-CZ"/>
        </w:rPr>
        <w:t>Odečty měřicího zařízení, zpracování a předávání dat zajišťuje PLDS. Pokud vznikne závada na telekomunikačním zařízení uživatele LDS, přes které provádí PLDS odečet měřicího zařízení, je uživatel LDS povinen bez zbytečného odkladu zajistit odstranění vznik</w:t>
      </w:r>
      <w:r w:rsidRPr="007F7C70">
        <w:rPr>
          <w:lang w:val="cs-CZ"/>
        </w:rPr>
        <w:t>lé závady.</w:t>
      </w:r>
    </w:p>
    <w:p w:rsidR="00F363D7" w:rsidRPr="007F7C70" w:rsidRDefault="00F363D7">
      <w:pPr>
        <w:pStyle w:val="Zkladntext"/>
        <w:spacing w:before="7"/>
        <w:rPr>
          <w:sz w:val="31"/>
          <w:lang w:val="cs-CZ"/>
        </w:rPr>
      </w:pPr>
    </w:p>
    <w:p w:rsidR="00F363D7" w:rsidRPr="007F7C70" w:rsidRDefault="00FD5698">
      <w:pPr>
        <w:pStyle w:val="Nadpis2"/>
        <w:numPr>
          <w:ilvl w:val="1"/>
          <w:numId w:val="3"/>
        </w:numPr>
        <w:tabs>
          <w:tab w:val="left" w:pos="691"/>
          <w:tab w:val="left" w:pos="692"/>
        </w:tabs>
        <w:rPr>
          <w:lang w:val="cs-CZ"/>
        </w:rPr>
      </w:pPr>
      <w:bookmarkStart w:id="28" w:name="_TOC_250001"/>
      <w:r w:rsidRPr="007F7C70">
        <w:rPr>
          <w:lang w:val="cs-CZ"/>
        </w:rPr>
        <w:t>Přezkoušení měřicího zařízení na žádost uživatele</w:t>
      </w:r>
      <w:r w:rsidRPr="007F7C70">
        <w:rPr>
          <w:spacing w:val="-2"/>
          <w:lang w:val="cs-CZ"/>
        </w:rPr>
        <w:t xml:space="preserve"> </w:t>
      </w:r>
      <w:bookmarkEnd w:id="28"/>
      <w:r w:rsidRPr="007F7C70">
        <w:rPr>
          <w:lang w:val="cs-CZ"/>
        </w:rPr>
        <w:t>LDS</w:t>
      </w:r>
    </w:p>
    <w:p w:rsidR="00F363D7" w:rsidRPr="007F7C70" w:rsidRDefault="00FD5698">
      <w:pPr>
        <w:pStyle w:val="Zkladntext"/>
        <w:spacing w:before="107"/>
        <w:ind w:left="547" w:right="110"/>
        <w:jc w:val="both"/>
        <w:rPr>
          <w:lang w:val="cs-CZ"/>
        </w:rPr>
      </w:pPr>
      <w:r w:rsidRPr="007F7C70">
        <w:rPr>
          <w:lang w:val="cs-CZ"/>
        </w:rPr>
        <w:t xml:space="preserve">Vznikla-li pochybnost o správnosti údajů měření nebo byla-li zjištěna závada na měřicím zařízení, je provozovatel distribuční soustavy povinen na základě písemné žádosti dotčeného účastníka trhu s elektřinou do 15 dnů od jejího doručení vyměnit elektroměr </w:t>
      </w:r>
      <w:r w:rsidRPr="007F7C70">
        <w:rPr>
          <w:lang w:val="cs-CZ"/>
        </w:rPr>
        <w:t>a do 60 dnů zajistit jeho ověření - §49, [1].</w:t>
      </w:r>
    </w:p>
    <w:p w:rsidR="00F363D7" w:rsidRPr="007F7C70" w:rsidRDefault="00FD5698">
      <w:pPr>
        <w:pStyle w:val="Zkladntext"/>
        <w:ind w:left="547" w:right="111"/>
        <w:jc w:val="both"/>
        <w:rPr>
          <w:lang w:val="cs-CZ"/>
        </w:rPr>
      </w:pPr>
      <w:r w:rsidRPr="007F7C70">
        <w:rPr>
          <w:lang w:val="cs-CZ"/>
        </w:rPr>
        <w:t>Je-li na měřicím zařízení zjištěna závada, hradí náklady spojené s jeho přezkoušením, ověřením správnosti měření a případnou jeho opravou nebo výměnou vlastník té části měřícího zařízení, na které byla závada z</w:t>
      </w:r>
      <w:r w:rsidRPr="007F7C70">
        <w:rPr>
          <w:lang w:val="cs-CZ"/>
        </w:rPr>
        <w:t>jištěna. Není-li závada zjištěna, hradí náklady na přezkoušení nebo ověření správnosti měření ten, kdo písemně požádal o přezkoušení měřicího zařízení a o ověření správnosti měření.</w:t>
      </w:r>
    </w:p>
    <w:p w:rsidR="00F363D7" w:rsidRPr="007F7C70" w:rsidRDefault="00F363D7">
      <w:pPr>
        <w:jc w:val="both"/>
        <w:rPr>
          <w:lang w:val="cs-CZ"/>
        </w:rPr>
        <w:sectPr w:rsidR="00F363D7" w:rsidRPr="007F7C70">
          <w:footerReference w:type="default" r:id="rId8"/>
          <w:pgSz w:w="11900" w:h="16840"/>
          <w:pgMar w:top="1060" w:right="1240" w:bottom="1220" w:left="1300" w:header="0" w:footer="1037" w:gutter="0"/>
          <w:pgNumType w:start="10"/>
          <w:cols w:space="708"/>
        </w:sectPr>
      </w:pPr>
    </w:p>
    <w:p w:rsidR="00F363D7" w:rsidRPr="007F7C70" w:rsidRDefault="00FD5698">
      <w:pPr>
        <w:pStyle w:val="Nadpis1"/>
        <w:numPr>
          <w:ilvl w:val="0"/>
          <w:numId w:val="3"/>
        </w:numPr>
        <w:tabs>
          <w:tab w:val="left" w:pos="547"/>
          <w:tab w:val="left" w:pos="548"/>
        </w:tabs>
        <w:spacing w:before="71"/>
        <w:rPr>
          <w:lang w:val="cs-CZ"/>
        </w:rPr>
      </w:pPr>
      <w:bookmarkStart w:id="29" w:name="_TOC_250000"/>
      <w:r w:rsidRPr="007F7C70">
        <w:rPr>
          <w:lang w:val="cs-CZ"/>
        </w:rPr>
        <w:lastRenderedPageBreak/>
        <w:t>Literatura a právní předpisy v platném</w:t>
      </w:r>
      <w:r w:rsidRPr="007F7C70">
        <w:rPr>
          <w:spacing w:val="-8"/>
          <w:lang w:val="cs-CZ"/>
        </w:rPr>
        <w:t xml:space="preserve"> </w:t>
      </w:r>
      <w:bookmarkEnd w:id="29"/>
      <w:r w:rsidRPr="007F7C70">
        <w:rPr>
          <w:lang w:val="cs-CZ"/>
        </w:rPr>
        <w:t>znění</w:t>
      </w:r>
    </w:p>
    <w:p w:rsidR="00F363D7" w:rsidRPr="007F7C70" w:rsidRDefault="00FD5698">
      <w:pPr>
        <w:pStyle w:val="Odstavecseseznamem"/>
        <w:numPr>
          <w:ilvl w:val="0"/>
          <w:numId w:val="1"/>
        </w:numPr>
        <w:tabs>
          <w:tab w:val="left" w:pos="548"/>
        </w:tabs>
        <w:spacing w:before="225"/>
        <w:ind w:right="167"/>
        <w:jc w:val="both"/>
        <w:rPr>
          <w:i/>
          <w:sz w:val="24"/>
          <w:lang w:val="cs-CZ"/>
        </w:rPr>
      </w:pPr>
      <w:r w:rsidRPr="007F7C70">
        <w:rPr>
          <w:sz w:val="24"/>
          <w:lang w:val="cs-CZ"/>
        </w:rPr>
        <w:t xml:space="preserve">Zákon č. 458 / 2000 Sb. ze dne 28.11.2000 zákon o podmínkách podnikání a výkonu státní správy </w:t>
      </w:r>
      <w:r w:rsidRPr="007F7C70">
        <w:rPr>
          <w:i/>
          <w:sz w:val="24"/>
          <w:lang w:val="cs-CZ"/>
        </w:rPr>
        <w:t>v energetických odvětvích a o změně některých zákonů ve znění pozdějších zákonů.</w:t>
      </w:r>
    </w:p>
    <w:p w:rsidR="00F363D7" w:rsidRPr="007F7C70" w:rsidRDefault="00FD5698">
      <w:pPr>
        <w:pStyle w:val="Odstavecseseznamem"/>
        <w:numPr>
          <w:ilvl w:val="0"/>
          <w:numId w:val="1"/>
        </w:numPr>
        <w:tabs>
          <w:tab w:val="left" w:pos="548"/>
        </w:tabs>
        <w:spacing w:before="61"/>
        <w:ind w:right="167"/>
        <w:jc w:val="both"/>
        <w:rPr>
          <w:sz w:val="24"/>
          <w:lang w:val="cs-CZ"/>
        </w:rPr>
      </w:pPr>
      <w:r w:rsidRPr="007F7C70">
        <w:rPr>
          <w:sz w:val="24"/>
          <w:lang w:val="cs-CZ"/>
        </w:rPr>
        <w:t>Vyhláška MPO č. 82/2011 Sb. ze dne 17. 3. 2011 o měření elektřiny a o způsobu stanovení náhrady škody při neoprávněném odběru, neoprávněné dodávce, neoprávněném přenosu nebo neoprávněné distribuci</w:t>
      </w:r>
      <w:r w:rsidRPr="007F7C70">
        <w:rPr>
          <w:spacing w:val="-2"/>
          <w:sz w:val="24"/>
          <w:lang w:val="cs-CZ"/>
        </w:rPr>
        <w:t xml:space="preserve"> </w:t>
      </w:r>
      <w:r w:rsidRPr="007F7C70">
        <w:rPr>
          <w:sz w:val="24"/>
          <w:lang w:val="cs-CZ"/>
        </w:rPr>
        <w:t>elektřiny</w:t>
      </w:r>
    </w:p>
    <w:p w:rsidR="00F363D7" w:rsidRPr="007F7C70" w:rsidRDefault="00FD5698">
      <w:pPr>
        <w:pStyle w:val="Odstavecseseznamem"/>
        <w:numPr>
          <w:ilvl w:val="0"/>
          <w:numId w:val="1"/>
        </w:numPr>
        <w:tabs>
          <w:tab w:val="left" w:pos="549"/>
        </w:tabs>
        <w:spacing w:before="60"/>
        <w:rPr>
          <w:sz w:val="24"/>
          <w:lang w:val="cs-CZ"/>
        </w:rPr>
      </w:pPr>
      <w:r w:rsidRPr="007F7C70">
        <w:rPr>
          <w:sz w:val="24"/>
          <w:lang w:val="cs-CZ"/>
        </w:rPr>
        <w:t>Zákon č. 505 / 1990 Sb. ze dne 16.11. 1990 o</w:t>
      </w:r>
      <w:r w:rsidRPr="007F7C70">
        <w:rPr>
          <w:spacing w:val="-2"/>
          <w:sz w:val="24"/>
          <w:lang w:val="cs-CZ"/>
        </w:rPr>
        <w:t xml:space="preserve"> </w:t>
      </w:r>
      <w:r w:rsidRPr="007F7C70">
        <w:rPr>
          <w:sz w:val="24"/>
          <w:lang w:val="cs-CZ"/>
        </w:rPr>
        <w:t>metr</w:t>
      </w:r>
      <w:r w:rsidRPr="007F7C70">
        <w:rPr>
          <w:sz w:val="24"/>
          <w:lang w:val="cs-CZ"/>
        </w:rPr>
        <w:t>ologii</w:t>
      </w:r>
    </w:p>
    <w:p w:rsidR="00F363D7" w:rsidRPr="007F7C70" w:rsidRDefault="00FD5698">
      <w:pPr>
        <w:pStyle w:val="Odstavecseseznamem"/>
        <w:numPr>
          <w:ilvl w:val="0"/>
          <w:numId w:val="1"/>
        </w:numPr>
        <w:tabs>
          <w:tab w:val="left" w:pos="548"/>
        </w:tabs>
        <w:spacing w:before="60"/>
        <w:ind w:right="169"/>
        <w:jc w:val="both"/>
        <w:rPr>
          <w:sz w:val="24"/>
          <w:lang w:val="cs-CZ"/>
        </w:rPr>
      </w:pPr>
      <w:proofErr w:type="gramStart"/>
      <w:r w:rsidRPr="007F7C70">
        <w:rPr>
          <w:sz w:val="24"/>
          <w:lang w:val="cs-CZ"/>
        </w:rPr>
        <w:t>Vyhláška  MPO</w:t>
      </w:r>
      <w:proofErr w:type="gramEnd"/>
      <w:r w:rsidRPr="007F7C70">
        <w:rPr>
          <w:sz w:val="24"/>
          <w:lang w:val="cs-CZ"/>
        </w:rPr>
        <w:t xml:space="preserve">  č.  </w:t>
      </w:r>
      <w:proofErr w:type="gramStart"/>
      <w:r w:rsidRPr="007F7C70">
        <w:rPr>
          <w:sz w:val="24"/>
          <w:lang w:val="cs-CZ"/>
        </w:rPr>
        <w:t>345  /</w:t>
      </w:r>
      <w:proofErr w:type="gramEnd"/>
      <w:r w:rsidRPr="007F7C70">
        <w:rPr>
          <w:sz w:val="24"/>
          <w:lang w:val="cs-CZ"/>
        </w:rPr>
        <w:t xml:space="preserve">  2002  Sb.  </w:t>
      </w:r>
      <w:proofErr w:type="gramStart"/>
      <w:r w:rsidRPr="007F7C70">
        <w:rPr>
          <w:sz w:val="24"/>
          <w:lang w:val="cs-CZ"/>
        </w:rPr>
        <w:t>ze  dne</w:t>
      </w:r>
      <w:proofErr w:type="gramEnd"/>
      <w:r w:rsidRPr="007F7C70">
        <w:rPr>
          <w:sz w:val="24"/>
          <w:lang w:val="cs-CZ"/>
        </w:rPr>
        <w:t xml:space="preserve">  11.7.2002  .  </w:t>
      </w:r>
      <w:proofErr w:type="gramStart"/>
      <w:r w:rsidRPr="007F7C70">
        <w:rPr>
          <w:sz w:val="24"/>
          <w:lang w:val="cs-CZ"/>
        </w:rPr>
        <w:t>kterou  se</w:t>
      </w:r>
      <w:proofErr w:type="gramEnd"/>
      <w:r w:rsidRPr="007F7C70">
        <w:rPr>
          <w:sz w:val="24"/>
          <w:lang w:val="cs-CZ"/>
        </w:rPr>
        <w:t xml:space="preserve">  stanoví  měřidla    k povinnému ověřování a měřidla podléhající schválení</w:t>
      </w:r>
      <w:r w:rsidRPr="007F7C70">
        <w:rPr>
          <w:spacing w:val="-3"/>
          <w:sz w:val="24"/>
          <w:lang w:val="cs-CZ"/>
        </w:rPr>
        <w:t xml:space="preserve"> </w:t>
      </w:r>
      <w:r w:rsidRPr="007F7C70">
        <w:rPr>
          <w:sz w:val="24"/>
          <w:lang w:val="cs-CZ"/>
        </w:rPr>
        <w:t>typu</w:t>
      </w:r>
    </w:p>
    <w:p w:rsidR="00F363D7" w:rsidRPr="007F7C70" w:rsidRDefault="00FD5698">
      <w:pPr>
        <w:pStyle w:val="Odstavecseseznamem"/>
        <w:numPr>
          <w:ilvl w:val="0"/>
          <w:numId w:val="1"/>
        </w:numPr>
        <w:tabs>
          <w:tab w:val="left" w:pos="548"/>
        </w:tabs>
        <w:spacing w:before="60"/>
        <w:rPr>
          <w:sz w:val="24"/>
          <w:lang w:val="cs-CZ"/>
        </w:rPr>
      </w:pPr>
      <w:r w:rsidRPr="007F7C70">
        <w:rPr>
          <w:sz w:val="24"/>
          <w:lang w:val="cs-CZ"/>
        </w:rPr>
        <w:t>Vyhláška ERÚ č. 408/2015 Sb., ze dne 23. prosince 2015 o Pravidlech trhu s</w:t>
      </w:r>
      <w:r w:rsidRPr="007F7C70">
        <w:rPr>
          <w:spacing w:val="-12"/>
          <w:sz w:val="24"/>
          <w:lang w:val="cs-CZ"/>
        </w:rPr>
        <w:t xml:space="preserve"> </w:t>
      </w:r>
      <w:r w:rsidRPr="007F7C70">
        <w:rPr>
          <w:sz w:val="24"/>
          <w:lang w:val="cs-CZ"/>
        </w:rPr>
        <w:t>elektřinou</w:t>
      </w:r>
    </w:p>
    <w:p w:rsidR="00F363D7" w:rsidRPr="007F7C70" w:rsidRDefault="00FD5698">
      <w:pPr>
        <w:pStyle w:val="Odstavecseseznamem"/>
        <w:numPr>
          <w:ilvl w:val="0"/>
          <w:numId w:val="1"/>
        </w:numPr>
        <w:tabs>
          <w:tab w:val="left" w:pos="548"/>
        </w:tabs>
        <w:spacing w:before="60"/>
        <w:ind w:right="170"/>
        <w:jc w:val="both"/>
        <w:rPr>
          <w:sz w:val="24"/>
          <w:lang w:val="cs-CZ"/>
        </w:rPr>
      </w:pPr>
      <w:r w:rsidRPr="007F7C70">
        <w:rPr>
          <w:sz w:val="24"/>
          <w:lang w:val="cs-CZ"/>
        </w:rPr>
        <w:t>Nařízení vl</w:t>
      </w:r>
      <w:r w:rsidRPr="007F7C70">
        <w:rPr>
          <w:sz w:val="24"/>
          <w:lang w:val="cs-CZ"/>
        </w:rPr>
        <w:t>ády č. 120/ 2016 Sb. ze dne 20.4.2016, o posuzování shody měřidel při jejich dodávání na</w:t>
      </w:r>
      <w:r w:rsidRPr="007F7C70">
        <w:rPr>
          <w:spacing w:val="-2"/>
          <w:sz w:val="24"/>
          <w:lang w:val="cs-CZ"/>
        </w:rPr>
        <w:t xml:space="preserve"> </w:t>
      </w:r>
      <w:proofErr w:type="gramStart"/>
      <w:r w:rsidRPr="007F7C70">
        <w:rPr>
          <w:sz w:val="24"/>
          <w:lang w:val="cs-CZ"/>
        </w:rPr>
        <w:t>trh[</w:t>
      </w:r>
      <w:proofErr w:type="gramEnd"/>
    </w:p>
    <w:p w:rsidR="00F363D7" w:rsidRPr="007F7C70" w:rsidRDefault="00FD5698">
      <w:pPr>
        <w:pStyle w:val="Odstavecseseznamem"/>
        <w:numPr>
          <w:ilvl w:val="0"/>
          <w:numId w:val="1"/>
        </w:numPr>
        <w:tabs>
          <w:tab w:val="left" w:pos="548"/>
        </w:tabs>
        <w:spacing w:before="60"/>
        <w:ind w:right="165"/>
        <w:jc w:val="both"/>
        <w:rPr>
          <w:sz w:val="24"/>
          <w:lang w:val="cs-CZ"/>
        </w:rPr>
      </w:pPr>
      <w:r w:rsidRPr="007F7C70">
        <w:rPr>
          <w:sz w:val="24"/>
          <w:lang w:val="cs-CZ"/>
        </w:rPr>
        <w:t xml:space="preserve">Vyhláška   ERÚ   č.   540/2005     ze   dne   15.12.   2005   </w:t>
      </w:r>
      <w:r w:rsidRPr="007F7C70">
        <w:rPr>
          <w:color w:val="3F3F3F"/>
          <w:sz w:val="24"/>
          <w:lang w:val="cs-CZ"/>
        </w:rPr>
        <w:t>o kvalitě   dodávek   elektřiny a souvisejících služeb v</w:t>
      </w:r>
      <w:r w:rsidRPr="007F7C70">
        <w:rPr>
          <w:color w:val="3F3F3F"/>
          <w:spacing w:val="-2"/>
          <w:sz w:val="24"/>
          <w:lang w:val="cs-CZ"/>
        </w:rPr>
        <w:t xml:space="preserve"> </w:t>
      </w:r>
      <w:r w:rsidRPr="007F7C70">
        <w:rPr>
          <w:color w:val="3F3F3F"/>
          <w:sz w:val="24"/>
          <w:lang w:val="cs-CZ"/>
        </w:rPr>
        <w:t>elektroenergetice</w:t>
      </w:r>
    </w:p>
    <w:p w:rsidR="00F363D7" w:rsidRPr="007F7C70" w:rsidRDefault="00FD5698">
      <w:pPr>
        <w:pStyle w:val="Odstavecseseznamem"/>
        <w:numPr>
          <w:ilvl w:val="0"/>
          <w:numId w:val="1"/>
        </w:numPr>
        <w:tabs>
          <w:tab w:val="left" w:pos="548"/>
        </w:tabs>
        <w:spacing w:before="60"/>
        <w:ind w:right="165"/>
        <w:jc w:val="both"/>
        <w:rPr>
          <w:sz w:val="24"/>
          <w:lang w:val="cs-CZ"/>
        </w:rPr>
      </w:pPr>
      <w:r w:rsidRPr="007F7C70">
        <w:rPr>
          <w:sz w:val="24"/>
          <w:lang w:val="cs-CZ"/>
        </w:rPr>
        <w:t>Cenové rozhodnutí Energet</w:t>
      </w:r>
      <w:r w:rsidRPr="007F7C70">
        <w:rPr>
          <w:sz w:val="24"/>
          <w:lang w:val="cs-CZ"/>
        </w:rPr>
        <w:t>ického regulačního úřadu, kterým se stanovují ceny elektřiny a souvisejících služeb (v platném</w:t>
      </w:r>
      <w:r w:rsidRPr="007F7C70">
        <w:rPr>
          <w:spacing w:val="-2"/>
          <w:sz w:val="24"/>
          <w:lang w:val="cs-CZ"/>
        </w:rPr>
        <w:t xml:space="preserve"> </w:t>
      </w:r>
      <w:r w:rsidRPr="007F7C70">
        <w:rPr>
          <w:sz w:val="24"/>
          <w:lang w:val="cs-CZ"/>
        </w:rPr>
        <w:t>znění)</w:t>
      </w:r>
    </w:p>
    <w:p w:rsidR="00F363D7" w:rsidRPr="007F7C70" w:rsidRDefault="00FD5698">
      <w:pPr>
        <w:pStyle w:val="Odstavecseseznamem"/>
        <w:numPr>
          <w:ilvl w:val="0"/>
          <w:numId w:val="1"/>
        </w:numPr>
        <w:tabs>
          <w:tab w:val="left" w:pos="517"/>
        </w:tabs>
        <w:spacing w:before="60"/>
        <w:ind w:right="170"/>
        <w:jc w:val="both"/>
        <w:rPr>
          <w:sz w:val="24"/>
          <w:lang w:val="cs-CZ"/>
        </w:rPr>
      </w:pPr>
      <w:r w:rsidRPr="007F7C70">
        <w:rPr>
          <w:sz w:val="24"/>
          <w:lang w:val="cs-CZ"/>
        </w:rPr>
        <w:t>ČSN EN 50470-3: Vybavení pro měření elektrické energie (AC) – Část 3:</w:t>
      </w:r>
      <w:r w:rsidRPr="007F7C70">
        <w:rPr>
          <w:spacing w:val="32"/>
          <w:sz w:val="24"/>
          <w:lang w:val="cs-CZ"/>
        </w:rPr>
        <w:t xml:space="preserve"> </w:t>
      </w:r>
      <w:r w:rsidRPr="007F7C70">
        <w:rPr>
          <w:sz w:val="24"/>
          <w:lang w:val="cs-CZ"/>
        </w:rPr>
        <w:t>Zvláštní požadavky – Statické činné elektroměry (třída A, B a</w:t>
      </w:r>
      <w:r w:rsidRPr="007F7C70">
        <w:rPr>
          <w:spacing w:val="-13"/>
          <w:sz w:val="24"/>
          <w:lang w:val="cs-CZ"/>
        </w:rPr>
        <w:t xml:space="preserve"> </w:t>
      </w:r>
      <w:r w:rsidRPr="007F7C70">
        <w:rPr>
          <w:sz w:val="24"/>
          <w:lang w:val="cs-CZ"/>
        </w:rPr>
        <w:t>C)</w:t>
      </w:r>
    </w:p>
    <w:p w:rsidR="00F363D7" w:rsidRPr="007F7C70" w:rsidRDefault="00FD5698">
      <w:pPr>
        <w:pStyle w:val="Odstavecseseznamem"/>
        <w:numPr>
          <w:ilvl w:val="0"/>
          <w:numId w:val="1"/>
        </w:numPr>
        <w:tabs>
          <w:tab w:val="left" w:pos="587"/>
        </w:tabs>
        <w:spacing w:before="60"/>
        <w:ind w:right="172"/>
        <w:jc w:val="both"/>
        <w:rPr>
          <w:sz w:val="24"/>
          <w:lang w:val="cs-CZ"/>
        </w:rPr>
      </w:pPr>
      <w:r w:rsidRPr="007F7C70">
        <w:rPr>
          <w:sz w:val="24"/>
          <w:lang w:val="cs-CZ"/>
        </w:rPr>
        <w:t xml:space="preserve">ČSN EN 61000-4-3 </w:t>
      </w:r>
      <w:proofErr w:type="spellStart"/>
      <w:r w:rsidRPr="007F7C70">
        <w:rPr>
          <w:sz w:val="24"/>
          <w:lang w:val="cs-CZ"/>
        </w:rPr>
        <w:t>ed</w:t>
      </w:r>
      <w:proofErr w:type="spellEnd"/>
      <w:r w:rsidRPr="007F7C70">
        <w:rPr>
          <w:sz w:val="24"/>
          <w:lang w:val="cs-CZ"/>
        </w:rPr>
        <w:t xml:space="preserve">. </w:t>
      </w:r>
      <w:proofErr w:type="gramStart"/>
      <w:r w:rsidRPr="007F7C70">
        <w:rPr>
          <w:sz w:val="24"/>
          <w:lang w:val="cs-CZ"/>
        </w:rPr>
        <w:t>3 - 11</w:t>
      </w:r>
      <w:proofErr w:type="gramEnd"/>
      <w:r w:rsidRPr="007F7C70">
        <w:rPr>
          <w:sz w:val="24"/>
          <w:lang w:val="cs-CZ"/>
        </w:rPr>
        <w:t>.2006: Elektromagnetická kompatibilita (EMC) - Část 4-3: Zkušební</w:t>
      </w:r>
      <w:r w:rsidRPr="007F7C70">
        <w:rPr>
          <w:spacing w:val="48"/>
          <w:sz w:val="24"/>
          <w:lang w:val="cs-CZ"/>
        </w:rPr>
        <w:t xml:space="preserve"> </w:t>
      </w:r>
      <w:r w:rsidRPr="007F7C70">
        <w:rPr>
          <w:sz w:val="24"/>
          <w:lang w:val="cs-CZ"/>
        </w:rPr>
        <w:t>a</w:t>
      </w:r>
      <w:r w:rsidRPr="007F7C70">
        <w:rPr>
          <w:spacing w:val="47"/>
          <w:sz w:val="24"/>
          <w:lang w:val="cs-CZ"/>
        </w:rPr>
        <w:t xml:space="preserve"> </w:t>
      </w:r>
      <w:r w:rsidRPr="007F7C70">
        <w:rPr>
          <w:sz w:val="24"/>
          <w:lang w:val="cs-CZ"/>
        </w:rPr>
        <w:t>měřicí</w:t>
      </w:r>
      <w:r w:rsidRPr="007F7C70">
        <w:rPr>
          <w:spacing w:val="48"/>
          <w:sz w:val="24"/>
          <w:lang w:val="cs-CZ"/>
        </w:rPr>
        <w:t xml:space="preserve"> </w:t>
      </w:r>
      <w:r w:rsidRPr="007F7C70">
        <w:rPr>
          <w:sz w:val="24"/>
          <w:lang w:val="cs-CZ"/>
        </w:rPr>
        <w:t>technika</w:t>
      </w:r>
      <w:r w:rsidRPr="007F7C70">
        <w:rPr>
          <w:spacing w:val="47"/>
          <w:sz w:val="24"/>
          <w:lang w:val="cs-CZ"/>
        </w:rPr>
        <w:t xml:space="preserve"> </w:t>
      </w:r>
      <w:r w:rsidRPr="007F7C70">
        <w:rPr>
          <w:sz w:val="24"/>
          <w:lang w:val="cs-CZ"/>
        </w:rPr>
        <w:t>-</w:t>
      </w:r>
      <w:r w:rsidRPr="007F7C70">
        <w:rPr>
          <w:spacing w:val="47"/>
          <w:sz w:val="24"/>
          <w:lang w:val="cs-CZ"/>
        </w:rPr>
        <w:t xml:space="preserve"> </w:t>
      </w:r>
      <w:r w:rsidRPr="007F7C70">
        <w:rPr>
          <w:sz w:val="24"/>
          <w:lang w:val="cs-CZ"/>
        </w:rPr>
        <w:t>Vyzařované</w:t>
      </w:r>
      <w:r w:rsidRPr="007F7C70">
        <w:rPr>
          <w:spacing w:val="47"/>
          <w:sz w:val="24"/>
          <w:lang w:val="cs-CZ"/>
        </w:rPr>
        <w:t xml:space="preserve"> </w:t>
      </w:r>
      <w:r w:rsidRPr="007F7C70">
        <w:rPr>
          <w:sz w:val="24"/>
          <w:lang w:val="cs-CZ"/>
        </w:rPr>
        <w:t>vysokofrekvenční</w:t>
      </w:r>
      <w:r w:rsidRPr="007F7C70">
        <w:rPr>
          <w:spacing w:val="48"/>
          <w:sz w:val="24"/>
          <w:lang w:val="cs-CZ"/>
        </w:rPr>
        <w:t xml:space="preserve"> </w:t>
      </w:r>
      <w:r w:rsidRPr="007F7C70">
        <w:rPr>
          <w:sz w:val="24"/>
          <w:lang w:val="cs-CZ"/>
        </w:rPr>
        <w:t>elektromagnetické</w:t>
      </w:r>
      <w:r w:rsidRPr="007F7C70">
        <w:rPr>
          <w:spacing w:val="47"/>
          <w:sz w:val="24"/>
          <w:lang w:val="cs-CZ"/>
        </w:rPr>
        <w:t xml:space="preserve"> </w:t>
      </w:r>
      <w:r w:rsidRPr="007F7C70">
        <w:rPr>
          <w:sz w:val="24"/>
          <w:lang w:val="cs-CZ"/>
        </w:rPr>
        <w:t>pole</w:t>
      </w:r>
      <w:r w:rsidRPr="007F7C70">
        <w:rPr>
          <w:spacing w:val="47"/>
          <w:sz w:val="24"/>
          <w:lang w:val="cs-CZ"/>
        </w:rPr>
        <w:t xml:space="preserve"> </w:t>
      </w:r>
      <w:r w:rsidRPr="007F7C70">
        <w:rPr>
          <w:sz w:val="24"/>
          <w:lang w:val="cs-CZ"/>
        </w:rPr>
        <w:t>-</w:t>
      </w:r>
    </w:p>
    <w:p w:rsidR="00F363D7" w:rsidRPr="007F7C70" w:rsidRDefault="00FD5698">
      <w:pPr>
        <w:pStyle w:val="Zkladntext"/>
        <w:ind w:left="547"/>
        <w:rPr>
          <w:lang w:val="cs-CZ"/>
        </w:rPr>
      </w:pPr>
      <w:r w:rsidRPr="007F7C70">
        <w:rPr>
          <w:lang w:val="cs-CZ"/>
        </w:rPr>
        <w:t>Zkouška odolnosti</w:t>
      </w:r>
    </w:p>
    <w:p w:rsidR="00F363D7" w:rsidRPr="007F7C70" w:rsidRDefault="00FD5698">
      <w:pPr>
        <w:pStyle w:val="Odstavecseseznamem"/>
        <w:numPr>
          <w:ilvl w:val="0"/>
          <w:numId w:val="1"/>
        </w:numPr>
        <w:tabs>
          <w:tab w:val="left" w:pos="592"/>
        </w:tabs>
        <w:spacing w:before="60"/>
        <w:ind w:right="170"/>
        <w:jc w:val="both"/>
        <w:rPr>
          <w:sz w:val="24"/>
          <w:lang w:val="cs-CZ"/>
        </w:rPr>
      </w:pPr>
      <w:r w:rsidRPr="007F7C70">
        <w:rPr>
          <w:sz w:val="24"/>
          <w:lang w:val="cs-CZ"/>
        </w:rPr>
        <w:t xml:space="preserve">ČSN EN </w:t>
      </w:r>
      <w:r w:rsidRPr="007F7C70">
        <w:rPr>
          <w:sz w:val="24"/>
          <w:lang w:val="cs-CZ"/>
        </w:rPr>
        <w:t xml:space="preserve">61000-4-6 Ed.3: Elektromagnetická kompatibilita (EMC) - Část 4-6: Zkušební a měřicí </w:t>
      </w:r>
      <w:proofErr w:type="gramStart"/>
      <w:r w:rsidRPr="007F7C70">
        <w:rPr>
          <w:sz w:val="24"/>
          <w:lang w:val="cs-CZ"/>
        </w:rPr>
        <w:t>technika - Odolnost</w:t>
      </w:r>
      <w:proofErr w:type="gramEnd"/>
      <w:r w:rsidRPr="007F7C70">
        <w:rPr>
          <w:sz w:val="24"/>
          <w:lang w:val="cs-CZ"/>
        </w:rPr>
        <w:t xml:space="preserve"> proti rušením šířeným vedením, indukovaným vysokofrekvenčními poli (převzetí</w:t>
      </w:r>
      <w:r w:rsidRPr="007F7C70">
        <w:rPr>
          <w:spacing w:val="-1"/>
          <w:sz w:val="24"/>
          <w:lang w:val="cs-CZ"/>
        </w:rPr>
        <w:t xml:space="preserve"> </w:t>
      </w:r>
      <w:r w:rsidRPr="007F7C70">
        <w:rPr>
          <w:sz w:val="24"/>
          <w:lang w:val="cs-CZ"/>
        </w:rPr>
        <w:t>originálu)</w:t>
      </w:r>
    </w:p>
    <w:p w:rsidR="00F363D7" w:rsidRPr="007F7C70" w:rsidRDefault="00FD5698">
      <w:pPr>
        <w:pStyle w:val="Odstavecseseznamem"/>
        <w:numPr>
          <w:ilvl w:val="0"/>
          <w:numId w:val="1"/>
        </w:numPr>
        <w:tabs>
          <w:tab w:val="left" w:pos="678"/>
        </w:tabs>
        <w:spacing w:before="60"/>
        <w:ind w:right="170"/>
        <w:jc w:val="both"/>
        <w:rPr>
          <w:sz w:val="24"/>
          <w:lang w:val="cs-CZ"/>
        </w:rPr>
      </w:pPr>
      <w:r w:rsidRPr="007F7C70">
        <w:rPr>
          <w:sz w:val="24"/>
          <w:lang w:val="cs-CZ"/>
        </w:rPr>
        <w:t xml:space="preserve">ČSN EN 61000-4-13:2003 Elektromagnetická kompatibilita (EMC) - Část 4-13: Zkušební a měřicí </w:t>
      </w:r>
      <w:proofErr w:type="gramStart"/>
      <w:r w:rsidRPr="007F7C70">
        <w:rPr>
          <w:sz w:val="24"/>
          <w:lang w:val="cs-CZ"/>
        </w:rPr>
        <w:t>technika - Harmonické</w:t>
      </w:r>
      <w:proofErr w:type="gramEnd"/>
      <w:r w:rsidRPr="007F7C70">
        <w:rPr>
          <w:sz w:val="24"/>
          <w:lang w:val="cs-CZ"/>
        </w:rPr>
        <w:t xml:space="preserve"> a </w:t>
      </w:r>
      <w:proofErr w:type="spellStart"/>
      <w:r w:rsidRPr="007F7C70">
        <w:rPr>
          <w:sz w:val="24"/>
          <w:lang w:val="cs-CZ"/>
        </w:rPr>
        <w:t>meziharmonické</w:t>
      </w:r>
      <w:proofErr w:type="spellEnd"/>
      <w:r w:rsidRPr="007F7C70">
        <w:rPr>
          <w:sz w:val="24"/>
          <w:lang w:val="cs-CZ"/>
        </w:rPr>
        <w:t xml:space="preserve"> včetně signálů v rozvodných sítích na střídavém vstupu/výstupu napájení - Nízkofrekvenční zkoušky</w:t>
      </w:r>
      <w:r w:rsidRPr="007F7C70">
        <w:rPr>
          <w:spacing w:val="-10"/>
          <w:sz w:val="24"/>
          <w:lang w:val="cs-CZ"/>
        </w:rPr>
        <w:t xml:space="preserve"> </w:t>
      </w:r>
      <w:r w:rsidRPr="007F7C70">
        <w:rPr>
          <w:sz w:val="24"/>
          <w:lang w:val="cs-CZ"/>
        </w:rPr>
        <w:t>odolnosti</w:t>
      </w:r>
    </w:p>
    <w:p w:rsidR="00F363D7" w:rsidRPr="007F7C70" w:rsidRDefault="00FD5698">
      <w:pPr>
        <w:pStyle w:val="Odstavecseseznamem"/>
        <w:numPr>
          <w:ilvl w:val="0"/>
          <w:numId w:val="1"/>
        </w:numPr>
        <w:tabs>
          <w:tab w:val="left" w:pos="599"/>
        </w:tabs>
        <w:spacing w:before="60"/>
        <w:ind w:left="547" w:right="168" w:hanging="431"/>
        <w:jc w:val="both"/>
        <w:rPr>
          <w:sz w:val="24"/>
          <w:lang w:val="cs-CZ"/>
        </w:rPr>
      </w:pPr>
      <w:r w:rsidRPr="007F7C70">
        <w:rPr>
          <w:sz w:val="24"/>
          <w:lang w:val="cs-CZ"/>
        </w:rPr>
        <w:t>CENELEC TR 50579:</w:t>
      </w:r>
      <w:r w:rsidRPr="007F7C70">
        <w:rPr>
          <w:sz w:val="24"/>
          <w:lang w:val="cs-CZ"/>
        </w:rPr>
        <w:t xml:space="preserve">2012 </w:t>
      </w:r>
      <w:proofErr w:type="spellStart"/>
      <w:r w:rsidRPr="007F7C70">
        <w:rPr>
          <w:sz w:val="24"/>
          <w:lang w:val="cs-CZ"/>
        </w:rPr>
        <w:t>Electricity</w:t>
      </w:r>
      <w:proofErr w:type="spellEnd"/>
      <w:r w:rsidRPr="007F7C70">
        <w:rPr>
          <w:sz w:val="24"/>
          <w:lang w:val="cs-CZ"/>
        </w:rPr>
        <w:t xml:space="preserve"> </w:t>
      </w:r>
      <w:proofErr w:type="spellStart"/>
      <w:r w:rsidRPr="007F7C70">
        <w:rPr>
          <w:sz w:val="24"/>
          <w:lang w:val="cs-CZ"/>
        </w:rPr>
        <w:t>metering</w:t>
      </w:r>
      <w:proofErr w:type="spellEnd"/>
      <w:r w:rsidRPr="007F7C70">
        <w:rPr>
          <w:sz w:val="24"/>
          <w:lang w:val="cs-CZ"/>
        </w:rPr>
        <w:t xml:space="preserve"> </w:t>
      </w:r>
      <w:proofErr w:type="spellStart"/>
      <w:r w:rsidRPr="007F7C70">
        <w:rPr>
          <w:sz w:val="24"/>
          <w:lang w:val="cs-CZ"/>
        </w:rPr>
        <w:t>equipment</w:t>
      </w:r>
      <w:proofErr w:type="spellEnd"/>
      <w:r w:rsidRPr="007F7C70">
        <w:rPr>
          <w:sz w:val="24"/>
          <w:lang w:val="cs-CZ"/>
        </w:rPr>
        <w:t xml:space="preserve"> – </w:t>
      </w:r>
      <w:proofErr w:type="spellStart"/>
      <w:r w:rsidRPr="007F7C70">
        <w:rPr>
          <w:sz w:val="24"/>
          <w:lang w:val="cs-CZ"/>
        </w:rPr>
        <w:t>Severity</w:t>
      </w:r>
      <w:proofErr w:type="spellEnd"/>
      <w:r w:rsidRPr="007F7C70">
        <w:rPr>
          <w:sz w:val="24"/>
          <w:lang w:val="cs-CZ"/>
        </w:rPr>
        <w:t xml:space="preserve"> </w:t>
      </w:r>
      <w:proofErr w:type="spellStart"/>
      <w:r w:rsidRPr="007F7C70">
        <w:rPr>
          <w:sz w:val="24"/>
          <w:lang w:val="cs-CZ"/>
        </w:rPr>
        <w:t>levels</w:t>
      </w:r>
      <w:proofErr w:type="spellEnd"/>
      <w:r w:rsidRPr="007F7C70">
        <w:rPr>
          <w:sz w:val="24"/>
          <w:lang w:val="cs-CZ"/>
        </w:rPr>
        <w:t xml:space="preserve">, </w:t>
      </w:r>
      <w:proofErr w:type="spellStart"/>
      <w:r w:rsidRPr="007F7C70">
        <w:rPr>
          <w:sz w:val="24"/>
          <w:lang w:val="cs-CZ"/>
        </w:rPr>
        <w:t>immunity</w:t>
      </w:r>
      <w:proofErr w:type="spellEnd"/>
      <w:r w:rsidRPr="007F7C70">
        <w:rPr>
          <w:sz w:val="24"/>
          <w:lang w:val="cs-CZ"/>
        </w:rPr>
        <w:t xml:space="preserve"> </w:t>
      </w:r>
      <w:proofErr w:type="spellStart"/>
      <w:r w:rsidRPr="007F7C70">
        <w:rPr>
          <w:sz w:val="24"/>
          <w:lang w:val="cs-CZ"/>
        </w:rPr>
        <w:t>requirements</w:t>
      </w:r>
      <w:proofErr w:type="spellEnd"/>
      <w:r w:rsidRPr="007F7C70">
        <w:rPr>
          <w:sz w:val="24"/>
          <w:lang w:val="cs-CZ"/>
        </w:rPr>
        <w:t xml:space="preserve"> and test </w:t>
      </w:r>
      <w:proofErr w:type="spellStart"/>
      <w:r w:rsidRPr="007F7C70">
        <w:rPr>
          <w:sz w:val="24"/>
          <w:lang w:val="cs-CZ"/>
        </w:rPr>
        <w:t>methods</w:t>
      </w:r>
      <w:proofErr w:type="spellEnd"/>
      <w:r w:rsidRPr="007F7C70">
        <w:rPr>
          <w:sz w:val="24"/>
          <w:lang w:val="cs-CZ"/>
        </w:rPr>
        <w:t xml:space="preserve"> </w:t>
      </w:r>
      <w:proofErr w:type="spellStart"/>
      <w:r w:rsidRPr="007F7C70">
        <w:rPr>
          <w:sz w:val="24"/>
          <w:lang w:val="cs-CZ"/>
        </w:rPr>
        <w:t>for</w:t>
      </w:r>
      <w:proofErr w:type="spellEnd"/>
      <w:r w:rsidRPr="007F7C70">
        <w:rPr>
          <w:sz w:val="24"/>
          <w:lang w:val="cs-CZ"/>
        </w:rPr>
        <w:t xml:space="preserve"> </w:t>
      </w:r>
      <w:proofErr w:type="spellStart"/>
      <w:r w:rsidRPr="007F7C70">
        <w:rPr>
          <w:sz w:val="24"/>
          <w:lang w:val="cs-CZ"/>
        </w:rPr>
        <w:t>conducted</w:t>
      </w:r>
      <w:proofErr w:type="spellEnd"/>
      <w:r w:rsidRPr="007F7C70">
        <w:rPr>
          <w:sz w:val="24"/>
          <w:lang w:val="cs-CZ"/>
        </w:rPr>
        <w:t xml:space="preserve"> </w:t>
      </w:r>
      <w:proofErr w:type="spellStart"/>
      <w:r w:rsidRPr="007F7C70">
        <w:rPr>
          <w:sz w:val="24"/>
          <w:lang w:val="cs-CZ"/>
        </w:rPr>
        <w:t>disturbances</w:t>
      </w:r>
      <w:proofErr w:type="spellEnd"/>
      <w:r w:rsidRPr="007F7C70">
        <w:rPr>
          <w:sz w:val="24"/>
          <w:lang w:val="cs-CZ"/>
        </w:rPr>
        <w:t xml:space="preserve"> in </w:t>
      </w:r>
      <w:proofErr w:type="spellStart"/>
      <w:r w:rsidRPr="007F7C70">
        <w:rPr>
          <w:sz w:val="24"/>
          <w:lang w:val="cs-CZ"/>
        </w:rPr>
        <w:t>the</w:t>
      </w:r>
      <w:proofErr w:type="spellEnd"/>
      <w:r w:rsidRPr="007F7C70">
        <w:rPr>
          <w:sz w:val="24"/>
          <w:lang w:val="cs-CZ"/>
        </w:rPr>
        <w:t xml:space="preserve"> </w:t>
      </w:r>
      <w:proofErr w:type="spellStart"/>
      <w:r w:rsidRPr="007F7C70">
        <w:rPr>
          <w:sz w:val="24"/>
          <w:lang w:val="cs-CZ"/>
        </w:rPr>
        <w:t>frequency</w:t>
      </w:r>
      <w:proofErr w:type="spellEnd"/>
      <w:r w:rsidRPr="007F7C70">
        <w:rPr>
          <w:sz w:val="24"/>
          <w:lang w:val="cs-CZ"/>
        </w:rPr>
        <w:t xml:space="preserve"> </w:t>
      </w:r>
      <w:proofErr w:type="spellStart"/>
      <w:r w:rsidRPr="007F7C70">
        <w:rPr>
          <w:sz w:val="24"/>
          <w:lang w:val="cs-CZ"/>
        </w:rPr>
        <w:t>range</w:t>
      </w:r>
      <w:proofErr w:type="spellEnd"/>
      <w:r w:rsidRPr="007F7C70">
        <w:rPr>
          <w:sz w:val="24"/>
          <w:lang w:val="cs-CZ"/>
        </w:rPr>
        <w:t xml:space="preserve"> </w:t>
      </w:r>
      <w:proofErr w:type="gramStart"/>
      <w:r w:rsidRPr="007F7C70">
        <w:rPr>
          <w:sz w:val="24"/>
          <w:lang w:val="cs-CZ"/>
        </w:rPr>
        <w:t>2 – 150</w:t>
      </w:r>
      <w:proofErr w:type="gramEnd"/>
      <w:r w:rsidRPr="007F7C70">
        <w:rPr>
          <w:sz w:val="24"/>
          <w:lang w:val="cs-CZ"/>
        </w:rPr>
        <w:t xml:space="preserve"> kHz (Vybavení pro měření elektrické energie (AC) – Stupně přísnosti, požadavky na odolnost a zkušební me</w:t>
      </w:r>
      <w:r w:rsidRPr="007F7C70">
        <w:rPr>
          <w:sz w:val="24"/>
          <w:lang w:val="cs-CZ"/>
        </w:rPr>
        <w:t>tody pro rušení šířené vedením v kmitočtovém rozsahu 2 kHz až 150</w:t>
      </w:r>
      <w:r w:rsidRPr="007F7C70">
        <w:rPr>
          <w:spacing w:val="-1"/>
          <w:sz w:val="24"/>
          <w:lang w:val="cs-CZ"/>
        </w:rPr>
        <w:t xml:space="preserve"> </w:t>
      </w:r>
      <w:r w:rsidRPr="007F7C70">
        <w:rPr>
          <w:sz w:val="24"/>
          <w:lang w:val="cs-CZ"/>
        </w:rPr>
        <w:t>kHz).</w:t>
      </w:r>
    </w:p>
    <w:p w:rsidR="00F363D7" w:rsidRPr="007F7C70" w:rsidRDefault="00FD5698">
      <w:pPr>
        <w:pStyle w:val="Odstavecseseznamem"/>
        <w:numPr>
          <w:ilvl w:val="0"/>
          <w:numId w:val="1"/>
        </w:numPr>
        <w:tabs>
          <w:tab w:val="left" w:pos="608"/>
        </w:tabs>
        <w:spacing w:before="60"/>
        <w:ind w:right="171"/>
        <w:jc w:val="both"/>
        <w:rPr>
          <w:sz w:val="24"/>
          <w:lang w:val="cs-CZ"/>
        </w:rPr>
      </w:pPr>
      <w:r w:rsidRPr="007F7C70">
        <w:rPr>
          <w:sz w:val="24"/>
          <w:lang w:val="cs-CZ"/>
        </w:rPr>
        <w:t>ČSN EN 50470-1: Vybavení pro měření elektrické energie (AC) – Část 1: Všeobecné požadavky, zkoušky a zkušební podmínky – Měřicí zařízení (třídy A, B a</w:t>
      </w:r>
      <w:r w:rsidRPr="007F7C70">
        <w:rPr>
          <w:spacing w:val="-17"/>
          <w:sz w:val="24"/>
          <w:lang w:val="cs-CZ"/>
        </w:rPr>
        <w:t xml:space="preserve"> </w:t>
      </w:r>
      <w:r w:rsidRPr="007F7C70">
        <w:rPr>
          <w:sz w:val="24"/>
          <w:lang w:val="cs-CZ"/>
        </w:rPr>
        <w:t>C)</w:t>
      </w:r>
    </w:p>
    <w:p w:rsidR="00F363D7" w:rsidRPr="007F7C70" w:rsidRDefault="00FD5698">
      <w:pPr>
        <w:pStyle w:val="Odstavecseseznamem"/>
        <w:numPr>
          <w:ilvl w:val="0"/>
          <w:numId w:val="1"/>
        </w:numPr>
        <w:tabs>
          <w:tab w:val="left" w:pos="637"/>
        </w:tabs>
        <w:spacing w:before="60"/>
        <w:ind w:right="170"/>
        <w:jc w:val="both"/>
        <w:rPr>
          <w:sz w:val="24"/>
          <w:lang w:val="cs-CZ"/>
        </w:rPr>
      </w:pPr>
      <w:r w:rsidRPr="007F7C70">
        <w:rPr>
          <w:sz w:val="24"/>
          <w:lang w:val="cs-CZ"/>
        </w:rPr>
        <w:t>ČSN EN 50470-2 Vybavení pro mě</w:t>
      </w:r>
      <w:r w:rsidRPr="007F7C70">
        <w:rPr>
          <w:sz w:val="24"/>
          <w:lang w:val="cs-CZ"/>
        </w:rPr>
        <w:t xml:space="preserve">ření elektrické energie (AC) - Část 2: Zvláštní </w:t>
      </w:r>
      <w:proofErr w:type="gramStart"/>
      <w:r w:rsidRPr="007F7C70">
        <w:rPr>
          <w:sz w:val="24"/>
          <w:lang w:val="cs-CZ"/>
        </w:rPr>
        <w:t>požadavky - Činné</w:t>
      </w:r>
      <w:proofErr w:type="gramEnd"/>
      <w:r w:rsidRPr="007F7C70">
        <w:rPr>
          <w:sz w:val="24"/>
          <w:lang w:val="cs-CZ"/>
        </w:rPr>
        <w:t xml:space="preserve"> elektromechanické elektroměry (třídy A </w:t>
      </w:r>
      <w:proofErr w:type="spellStart"/>
      <w:r w:rsidRPr="007F7C70">
        <w:rPr>
          <w:sz w:val="24"/>
          <w:lang w:val="cs-CZ"/>
        </w:rPr>
        <w:t>a</w:t>
      </w:r>
      <w:proofErr w:type="spellEnd"/>
      <w:r w:rsidRPr="007F7C70">
        <w:rPr>
          <w:spacing w:val="-12"/>
          <w:sz w:val="24"/>
          <w:lang w:val="cs-CZ"/>
        </w:rPr>
        <w:t xml:space="preserve"> </w:t>
      </w:r>
      <w:r w:rsidRPr="007F7C70">
        <w:rPr>
          <w:sz w:val="24"/>
          <w:lang w:val="cs-CZ"/>
        </w:rPr>
        <w:t>B)</w:t>
      </w:r>
    </w:p>
    <w:p w:rsidR="00F363D7" w:rsidRPr="007F7C70" w:rsidRDefault="00FD5698">
      <w:pPr>
        <w:pStyle w:val="Odstavecseseznamem"/>
        <w:numPr>
          <w:ilvl w:val="0"/>
          <w:numId w:val="1"/>
        </w:numPr>
        <w:tabs>
          <w:tab w:val="left" w:pos="548"/>
        </w:tabs>
        <w:spacing w:before="60"/>
        <w:rPr>
          <w:sz w:val="24"/>
          <w:lang w:val="cs-CZ"/>
        </w:rPr>
      </w:pPr>
      <w:r w:rsidRPr="007F7C70">
        <w:rPr>
          <w:sz w:val="24"/>
          <w:lang w:val="cs-CZ"/>
        </w:rPr>
        <w:t>Pravidla provozování distribučních soustav, Příloha5 Fakturační měření, prosinec</w:t>
      </w:r>
      <w:r w:rsidRPr="007F7C70">
        <w:rPr>
          <w:spacing w:val="-11"/>
          <w:sz w:val="24"/>
          <w:lang w:val="cs-CZ"/>
        </w:rPr>
        <w:t xml:space="preserve"> </w:t>
      </w:r>
      <w:r w:rsidRPr="007F7C70">
        <w:rPr>
          <w:sz w:val="24"/>
          <w:lang w:val="cs-CZ"/>
        </w:rPr>
        <w:t>2016</w:t>
      </w:r>
    </w:p>
    <w:sectPr w:rsidR="00F363D7" w:rsidRPr="007F7C70">
      <w:pgSz w:w="11900" w:h="16840"/>
      <w:pgMar w:top="1060" w:right="1240" w:bottom="1220" w:left="1300" w:header="0" w:footer="10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698" w:rsidRDefault="00FD5698">
      <w:r>
        <w:separator/>
      </w:r>
    </w:p>
  </w:endnote>
  <w:endnote w:type="continuationSeparator" w:id="0">
    <w:p w:rsidR="00FD5698" w:rsidRDefault="00FD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3D7" w:rsidRDefault="00FD5698">
    <w:pPr>
      <w:pStyle w:val="Zkladntext"/>
      <w:spacing w:line="14" w:lineRule="auto"/>
      <w:rPr>
        <w:sz w:val="20"/>
      </w:rPr>
    </w:pPr>
    <w:r>
      <w:pict>
        <v:shape id="_x0000_s2054" style="position:absolute;margin-left:69.35pt;margin-top:776.4pt;width:456.5pt;height:1pt;z-index:-9592;mso-position-horizontal-relative:page;mso-position-vertical-relative:page" coordorigin="1387,15528" coordsize="9130,20" o:spt="100" adj="0,,0" path="m1387,15528r9130,m1387,15547r9130,e" filled="f" strokecolor="#7f0000" strokeweight=".48pt">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69.8pt;margin-top:777.7pt;width:179.25pt;height:16.1pt;z-index:-9568;mso-position-horizontal-relative:page;mso-position-vertical-relative:page" filled="f" stroked="f">
          <v:textbox inset="0,0,0,0">
            <w:txbxContent>
              <w:p w:rsidR="00F363D7" w:rsidRDefault="00FD5698">
                <w:pPr>
                  <w:spacing w:before="20"/>
                  <w:ind w:left="20"/>
                  <w:rPr>
                    <w:rFonts w:ascii="Cambria" w:hAnsi="Cambria"/>
                    <w:i/>
                    <w:sz w:val="24"/>
                  </w:rPr>
                </w:pPr>
                <w:proofErr w:type="spellStart"/>
                <w:r>
                  <w:rPr>
                    <w:rFonts w:ascii="Cambria" w:hAnsi="Cambria"/>
                    <w:i/>
                    <w:sz w:val="24"/>
                  </w:rPr>
                  <w:t>Příloha</w:t>
                </w:r>
                <w:proofErr w:type="spellEnd"/>
                <w:r>
                  <w:rPr>
                    <w:rFonts w:ascii="Cambria" w:hAnsi="Cambria"/>
                    <w:i/>
                    <w:sz w:val="24"/>
                  </w:rPr>
                  <w:t xml:space="preserve"> 5 PPLDS </w:t>
                </w:r>
                <w:proofErr w:type="spellStart"/>
                <w:r>
                  <w:rPr>
                    <w:rFonts w:ascii="Cambria" w:hAnsi="Cambria"/>
                    <w:i/>
                    <w:sz w:val="24"/>
                  </w:rPr>
                  <w:t>Fakturační</w:t>
                </w:r>
                <w:proofErr w:type="spellEnd"/>
                <w:r>
                  <w:rPr>
                    <w:rFonts w:ascii="Cambria" w:hAnsi="Cambria"/>
                    <w:i/>
                    <w:sz w:val="24"/>
                  </w:rPr>
                  <w:t xml:space="preserve"> </w:t>
                </w:r>
                <w:proofErr w:type="spellStart"/>
                <w:r>
                  <w:rPr>
                    <w:rFonts w:ascii="Cambria" w:hAnsi="Cambria"/>
                    <w:i/>
                    <w:sz w:val="24"/>
                  </w:rPr>
                  <w:t>měření</w:t>
                </w:r>
                <w:proofErr w:type="spellEnd"/>
              </w:p>
            </w:txbxContent>
          </v:textbox>
          <w10:wrap anchorx="page" anchory="page"/>
        </v:shape>
      </w:pict>
    </w:r>
    <w:r>
      <w:pict>
        <v:shape id="_x0000_s2052" type="#_x0000_t202" style="position:absolute;margin-left:474.55pt;margin-top:777.7pt;width:51.95pt;height:16.1pt;z-index:-9544;mso-position-horizontal-relative:page;mso-position-vertical-relative:page" filled="f" stroked="f">
          <v:textbox inset="0,0,0,0">
            <w:txbxContent>
              <w:p w:rsidR="00F363D7" w:rsidRDefault="00FD5698">
                <w:pPr>
                  <w:spacing w:before="20"/>
                  <w:ind w:left="20"/>
                  <w:rPr>
                    <w:rFonts w:ascii="Cambria" w:hAnsi="Cambria"/>
                    <w:i/>
                    <w:sz w:val="24"/>
                  </w:rPr>
                </w:pPr>
                <w:proofErr w:type="spellStart"/>
                <w:r>
                  <w:rPr>
                    <w:rFonts w:ascii="Cambria" w:hAnsi="Cambria"/>
                    <w:i/>
                    <w:sz w:val="24"/>
                  </w:rPr>
                  <w:t>Stránka</w:t>
                </w:r>
                <w:proofErr w:type="spellEnd"/>
                <w:r>
                  <w:rPr>
                    <w:rFonts w:ascii="Cambria" w:hAnsi="Cambria"/>
                    <w:i/>
                    <w:sz w:val="24"/>
                  </w:rPr>
                  <w:t xml:space="preserve"> </w:t>
                </w:r>
                <w:r>
                  <w:fldChar w:fldCharType="begin"/>
                </w:r>
                <w:r>
                  <w:rPr>
                    <w:rFonts w:ascii="Cambria" w:hAnsi="Cambria"/>
                    <w:i/>
                    <w:sz w:val="24"/>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3D7" w:rsidRDefault="00FD5698">
    <w:pPr>
      <w:pStyle w:val="Zkladntext"/>
      <w:spacing w:line="14" w:lineRule="auto"/>
      <w:rPr>
        <w:sz w:val="20"/>
      </w:rPr>
    </w:pPr>
    <w:r>
      <w:pict>
        <v:shape id="_x0000_s2051" style="position:absolute;margin-left:69.35pt;margin-top:776.4pt;width:456.5pt;height:1pt;z-index:-9520;mso-position-horizontal-relative:page;mso-position-vertical-relative:page" coordorigin="1387,15528" coordsize="9130,20" o:spt="100" adj="0,,0" path="m1387,15528r9130,m1387,15547r9130,e" filled="f" strokecolor="#7f0000" strokeweight=".48pt">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69.8pt;margin-top:777.7pt;width:179.25pt;height:16.1pt;z-index:-9496;mso-position-horizontal-relative:page;mso-position-vertical-relative:page" filled="f" stroked="f">
          <v:textbox inset="0,0,0,0">
            <w:txbxContent>
              <w:p w:rsidR="00F363D7" w:rsidRDefault="00FD5698">
                <w:pPr>
                  <w:spacing w:before="20"/>
                  <w:ind w:left="20"/>
                  <w:rPr>
                    <w:rFonts w:ascii="Cambria" w:hAnsi="Cambria"/>
                    <w:i/>
                    <w:sz w:val="24"/>
                  </w:rPr>
                </w:pPr>
                <w:proofErr w:type="spellStart"/>
                <w:r>
                  <w:rPr>
                    <w:rFonts w:ascii="Cambria" w:hAnsi="Cambria"/>
                    <w:i/>
                    <w:sz w:val="24"/>
                  </w:rPr>
                  <w:t>Příloha</w:t>
                </w:r>
                <w:proofErr w:type="spellEnd"/>
                <w:r>
                  <w:rPr>
                    <w:rFonts w:ascii="Cambria" w:hAnsi="Cambria"/>
                    <w:i/>
                    <w:sz w:val="24"/>
                  </w:rPr>
                  <w:t xml:space="preserve"> 5 PPLDS </w:t>
                </w:r>
                <w:proofErr w:type="spellStart"/>
                <w:r>
                  <w:rPr>
                    <w:rFonts w:ascii="Cambria" w:hAnsi="Cambria"/>
                    <w:i/>
                    <w:sz w:val="24"/>
                  </w:rPr>
                  <w:t>Fakturační</w:t>
                </w:r>
                <w:proofErr w:type="spellEnd"/>
                <w:r>
                  <w:rPr>
                    <w:rFonts w:ascii="Cambria" w:hAnsi="Cambria"/>
                    <w:i/>
                    <w:sz w:val="24"/>
                  </w:rPr>
                  <w:t xml:space="preserve"> </w:t>
                </w:r>
                <w:proofErr w:type="spellStart"/>
                <w:r>
                  <w:rPr>
                    <w:rFonts w:ascii="Cambria" w:hAnsi="Cambria"/>
                    <w:i/>
                    <w:sz w:val="24"/>
                  </w:rPr>
                  <w:t>měření</w:t>
                </w:r>
                <w:proofErr w:type="spellEnd"/>
              </w:p>
            </w:txbxContent>
          </v:textbox>
          <w10:wrap anchorx="page" anchory="page"/>
        </v:shape>
      </w:pict>
    </w:r>
    <w:r>
      <w:pict>
        <v:shape id="_x0000_s2049" type="#_x0000_t202" style="position:absolute;margin-left:468.2pt;margin-top:777.7pt;width:58.3pt;height:16.1pt;z-index:-9472;mso-position-horizontal-relative:page;mso-position-vertical-relative:page" filled="f" stroked="f">
          <v:textbox inset="0,0,0,0">
            <w:txbxContent>
              <w:p w:rsidR="00F363D7" w:rsidRDefault="00FD5698">
                <w:pPr>
                  <w:spacing w:before="20"/>
                  <w:ind w:left="20"/>
                  <w:rPr>
                    <w:rFonts w:ascii="Cambria" w:hAnsi="Cambria"/>
                    <w:i/>
                    <w:sz w:val="24"/>
                  </w:rPr>
                </w:pPr>
                <w:proofErr w:type="spellStart"/>
                <w:r>
                  <w:rPr>
                    <w:rFonts w:ascii="Cambria" w:hAnsi="Cambria"/>
                    <w:i/>
                    <w:sz w:val="24"/>
                  </w:rPr>
                  <w:t>Stránka</w:t>
                </w:r>
                <w:proofErr w:type="spellEnd"/>
                <w:r>
                  <w:rPr>
                    <w:rFonts w:ascii="Cambria" w:hAnsi="Cambria"/>
                    <w:i/>
                    <w:sz w:val="24"/>
                  </w:rPr>
                  <w:t xml:space="preserve"> </w:t>
                </w:r>
                <w:r>
                  <w:fldChar w:fldCharType="begin"/>
                </w:r>
                <w:r>
                  <w:rPr>
                    <w:rFonts w:ascii="Cambria" w:hAnsi="Cambria"/>
                    <w:i/>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698" w:rsidRDefault="00FD5698">
      <w:r>
        <w:separator/>
      </w:r>
    </w:p>
  </w:footnote>
  <w:footnote w:type="continuationSeparator" w:id="0">
    <w:p w:rsidR="00FD5698" w:rsidRDefault="00FD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16AA"/>
    <w:multiLevelType w:val="hybridMultilevel"/>
    <w:tmpl w:val="60ECC1AC"/>
    <w:lvl w:ilvl="0" w:tplc="76227488">
      <w:start w:val="1"/>
      <w:numFmt w:val="decimal"/>
      <w:lvlText w:val="[%1]"/>
      <w:lvlJc w:val="left"/>
      <w:pPr>
        <w:ind w:left="548" w:hanging="432"/>
        <w:jc w:val="left"/>
      </w:pPr>
      <w:rPr>
        <w:rFonts w:ascii="Times New Roman" w:eastAsia="Times New Roman" w:hAnsi="Times New Roman" w:cs="Times New Roman" w:hint="default"/>
        <w:spacing w:val="0"/>
        <w:w w:val="99"/>
        <w:sz w:val="24"/>
        <w:szCs w:val="24"/>
      </w:rPr>
    </w:lvl>
    <w:lvl w:ilvl="1" w:tplc="0660D22A">
      <w:numFmt w:val="bullet"/>
      <w:lvlText w:val="•"/>
      <w:lvlJc w:val="left"/>
      <w:pPr>
        <w:ind w:left="1422" w:hanging="432"/>
      </w:pPr>
      <w:rPr>
        <w:rFonts w:hint="default"/>
      </w:rPr>
    </w:lvl>
    <w:lvl w:ilvl="2" w:tplc="19D8BA98">
      <w:numFmt w:val="bullet"/>
      <w:lvlText w:val="•"/>
      <w:lvlJc w:val="left"/>
      <w:pPr>
        <w:ind w:left="2304" w:hanging="432"/>
      </w:pPr>
      <w:rPr>
        <w:rFonts w:hint="default"/>
      </w:rPr>
    </w:lvl>
    <w:lvl w:ilvl="3" w:tplc="09BE0A62">
      <w:numFmt w:val="bullet"/>
      <w:lvlText w:val="•"/>
      <w:lvlJc w:val="left"/>
      <w:pPr>
        <w:ind w:left="3186" w:hanging="432"/>
      </w:pPr>
      <w:rPr>
        <w:rFonts w:hint="default"/>
      </w:rPr>
    </w:lvl>
    <w:lvl w:ilvl="4" w:tplc="9C12DB22">
      <w:numFmt w:val="bullet"/>
      <w:lvlText w:val="•"/>
      <w:lvlJc w:val="left"/>
      <w:pPr>
        <w:ind w:left="4068" w:hanging="432"/>
      </w:pPr>
      <w:rPr>
        <w:rFonts w:hint="default"/>
      </w:rPr>
    </w:lvl>
    <w:lvl w:ilvl="5" w:tplc="58C0450C">
      <w:numFmt w:val="bullet"/>
      <w:lvlText w:val="•"/>
      <w:lvlJc w:val="left"/>
      <w:pPr>
        <w:ind w:left="4950" w:hanging="432"/>
      </w:pPr>
      <w:rPr>
        <w:rFonts w:hint="default"/>
      </w:rPr>
    </w:lvl>
    <w:lvl w:ilvl="6" w:tplc="6A082FC0">
      <w:numFmt w:val="bullet"/>
      <w:lvlText w:val="•"/>
      <w:lvlJc w:val="left"/>
      <w:pPr>
        <w:ind w:left="5832" w:hanging="432"/>
      </w:pPr>
      <w:rPr>
        <w:rFonts w:hint="default"/>
      </w:rPr>
    </w:lvl>
    <w:lvl w:ilvl="7" w:tplc="306641A6">
      <w:numFmt w:val="bullet"/>
      <w:lvlText w:val="•"/>
      <w:lvlJc w:val="left"/>
      <w:pPr>
        <w:ind w:left="6714" w:hanging="432"/>
      </w:pPr>
      <w:rPr>
        <w:rFonts w:hint="default"/>
      </w:rPr>
    </w:lvl>
    <w:lvl w:ilvl="8" w:tplc="1018D7D4">
      <w:numFmt w:val="bullet"/>
      <w:lvlText w:val="•"/>
      <w:lvlJc w:val="left"/>
      <w:pPr>
        <w:ind w:left="7596" w:hanging="432"/>
      </w:pPr>
      <w:rPr>
        <w:rFonts w:hint="default"/>
      </w:rPr>
    </w:lvl>
  </w:abstractNum>
  <w:abstractNum w:abstractNumId="1" w15:restartNumberingAfterBreak="0">
    <w:nsid w:val="4E111A63"/>
    <w:multiLevelType w:val="hybridMultilevel"/>
    <w:tmpl w:val="0F14EE86"/>
    <w:lvl w:ilvl="0" w:tplc="156E7B00">
      <w:start w:val="1"/>
      <w:numFmt w:val="lowerLetter"/>
      <w:lvlText w:val="%1)"/>
      <w:lvlJc w:val="left"/>
      <w:pPr>
        <w:ind w:left="823" w:hanging="276"/>
        <w:jc w:val="left"/>
      </w:pPr>
      <w:rPr>
        <w:rFonts w:ascii="Times New Roman" w:eastAsia="Times New Roman" w:hAnsi="Times New Roman" w:cs="Times New Roman" w:hint="default"/>
        <w:spacing w:val="-1"/>
        <w:w w:val="99"/>
        <w:sz w:val="24"/>
        <w:szCs w:val="24"/>
      </w:rPr>
    </w:lvl>
    <w:lvl w:ilvl="1" w:tplc="52D06D64">
      <w:numFmt w:val="bullet"/>
      <w:lvlText w:val="•"/>
      <w:lvlJc w:val="left"/>
      <w:pPr>
        <w:ind w:left="1674" w:hanging="276"/>
      </w:pPr>
      <w:rPr>
        <w:rFonts w:hint="default"/>
      </w:rPr>
    </w:lvl>
    <w:lvl w:ilvl="2" w:tplc="F9FE2FBC">
      <w:numFmt w:val="bullet"/>
      <w:lvlText w:val="•"/>
      <w:lvlJc w:val="left"/>
      <w:pPr>
        <w:ind w:left="2528" w:hanging="276"/>
      </w:pPr>
      <w:rPr>
        <w:rFonts w:hint="default"/>
      </w:rPr>
    </w:lvl>
    <w:lvl w:ilvl="3" w:tplc="9702C7E8">
      <w:numFmt w:val="bullet"/>
      <w:lvlText w:val="•"/>
      <w:lvlJc w:val="left"/>
      <w:pPr>
        <w:ind w:left="3382" w:hanging="276"/>
      </w:pPr>
      <w:rPr>
        <w:rFonts w:hint="default"/>
      </w:rPr>
    </w:lvl>
    <w:lvl w:ilvl="4" w:tplc="91B08C72">
      <w:numFmt w:val="bullet"/>
      <w:lvlText w:val="•"/>
      <w:lvlJc w:val="left"/>
      <w:pPr>
        <w:ind w:left="4236" w:hanging="276"/>
      </w:pPr>
      <w:rPr>
        <w:rFonts w:hint="default"/>
      </w:rPr>
    </w:lvl>
    <w:lvl w:ilvl="5" w:tplc="6DBAF808">
      <w:numFmt w:val="bullet"/>
      <w:lvlText w:val="•"/>
      <w:lvlJc w:val="left"/>
      <w:pPr>
        <w:ind w:left="5090" w:hanging="276"/>
      </w:pPr>
      <w:rPr>
        <w:rFonts w:hint="default"/>
      </w:rPr>
    </w:lvl>
    <w:lvl w:ilvl="6" w:tplc="160AC9EC">
      <w:numFmt w:val="bullet"/>
      <w:lvlText w:val="•"/>
      <w:lvlJc w:val="left"/>
      <w:pPr>
        <w:ind w:left="5944" w:hanging="276"/>
      </w:pPr>
      <w:rPr>
        <w:rFonts w:hint="default"/>
      </w:rPr>
    </w:lvl>
    <w:lvl w:ilvl="7" w:tplc="FAD2E690">
      <w:numFmt w:val="bullet"/>
      <w:lvlText w:val="•"/>
      <w:lvlJc w:val="left"/>
      <w:pPr>
        <w:ind w:left="6798" w:hanging="276"/>
      </w:pPr>
      <w:rPr>
        <w:rFonts w:hint="default"/>
      </w:rPr>
    </w:lvl>
    <w:lvl w:ilvl="8" w:tplc="B8C623CC">
      <w:numFmt w:val="bullet"/>
      <w:lvlText w:val="•"/>
      <w:lvlJc w:val="left"/>
      <w:pPr>
        <w:ind w:left="7652" w:hanging="276"/>
      </w:pPr>
      <w:rPr>
        <w:rFonts w:hint="default"/>
      </w:rPr>
    </w:lvl>
  </w:abstractNum>
  <w:abstractNum w:abstractNumId="2" w15:restartNumberingAfterBreak="0">
    <w:nsid w:val="5E954300"/>
    <w:multiLevelType w:val="multilevel"/>
    <w:tmpl w:val="98C8B8F4"/>
    <w:lvl w:ilvl="0">
      <w:start w:val="1"/>
      <w:numFmt w:val="decimal"/>
      <w:lvlText w:val="%1"/>
      <w:lvlJc w:val="left"/>
      <w:pPr>
        <w:ind w:left="548" w:hanging="432"/>
        <w:jc w:val="left"/>
      </w:pPr>
      <w:rPr>
        <w:rFonts w:ascii="Times New Roman" w:eastAsia="Times New Roman" w:hAnsi="Times New Roman" w:cs="Times New Roman" w:hint="default"/>
        <w:b/>
        <w:bCs/>
        <w:w w:val="99"/>
        <w:sz w:val="32"/>
        <w:szCs w:val="32"/>
      </w:rPr>
    </w:lvl>
    <w:lvl w:ilvl="1">
      <w:start w:val="1"/>
      <w:numFmt w:val="decimal"/>
      <w:lvlText w:val="%1.%2"/>
      <w:lvlJc w:val="left"/>
      <w:pPr>
        <w:ind w:left="692" w:hanging="576"/>
        <w:jc w:val="left"/>
      </w:pPr>
      <w:rPr>
        <w:rFonts w:ascii="Times New Roman" w:eastAsia="Times New Roman" w:hAnsi="Times New Roman" w:cs="Times New Roman" w:hint="default"/>
        <w:b/>
        <w:bCs/>
        <w:i/>
        <w:spacing w:val="-1"/>
        <w:w w:val="100"/>
        <w:sz w:val="28"/>
        <w:szCs w:val="28"/>
      </w:rPr>
    </w:lvl>
    <w:lvl w:ilvl="2">
      <w:numFmt w:val="bullet"/>
      <w:lvlText w:val=""/>
      <w:lvlJc w:val="left"/>
      <w:pPr>
        <w:ind w:left="1268" w:hanging="360"/>
      </w:pPr>
      <w:rPr>
        <w:rFonts w:ascii="Symbol" w:eastAsia="Symbol" w:hAnsi="Symbol" w:cs="Symbol" w:hint="default"/>
        <w:w w:val="99"/>
        <w:sz w:val="24"/>
        <w:szCs w:val="24"/>
      </w:rPr>
    </w:lvl>
    <w:lvl w:ilvl="3">
      <w:numFmt w:val="bullet"/>
      <w:lvlText w:val="•"/>
      <w:lvlJc w:val="left"/>
      <w:pPr>
        <w:ind w:left="1260" w:hanging="360"/>
      </w:pPr>
      <w:rPr>
        <w:rFonts w:hint="default"/>
      </w:rPr>
    </w:lvl>
    <w:lvl w:ilvl="4">
      <w:numFmt w:val="bullet"/>
      <w:lvlText w:val="•"/>
      <w:lvlJc w:val="left"/>
      <w:pPr>
        <w:ind w:left="2417" w:hanging="360"/>
      </w:pPr>
      <w:rPr>
        <w:rFonts w:hint="default"/>
      </w:rPr>
    </w:lvl>
    <w:lvl w:ilvl="5">
      <w:numFmt w:val="bullet"/>
      <w:lvlText w:val="•"/>
      <w:lvlJc w:val="left"/>
      <w:pPr>
        <w:ind w:left="3574" w:hanging="360"/>
      </w:pPr>
      <w:rPr>
        <w:rFonts w:hint="default"/>
      </w:rPr>
    </w:lvl>
    <w:lvl w:ilvl="6">
      <w:numFmt w:val="bullet"/>
      <w:lvlText w:val="•"/>
      <w:lvlJc w:val="left"/>
      <w:pPr>
        <w:ind w:left="4731" w:hanging="360"/>
      </w:pPr>
      <w:rPr>
        <w:rFonts w:hint="default"/>
      </w:rPr>
    </w:lvl>
    <w:lvl w:ilvl="7">
      <w:numFmt w:val="bullet"/>
      <w:lvlText w:val="•"/>
      <w:lvlJc w:val="left"/>
      <w:pPr>
        <w:ind w:left="5888" w:hanging="360"/>
      </w:pPr>
      <w:rPr>
        <w:rFonts w:hint="default"/>
      </w:rPr>
    </w:lvl>
    <w:lvl w:ilvl="8">
      <w:numFmt w:val="bullet"/>
      <w:lvlText w:val="•"/>
      <w:lvlJc w:val="left"/>
      <w:pPr>
        <w:ind w:left="7045" w:hanging="360"/>
      </w:pPr>
      <w:rPr>
        <w:rFonts w:hint="default"/>
      </w:rPr>
    </w:lvl>
  </w:abstractNum>
  <w:abstractNum w:abstractNumId="3" w15:restartNumberingAfterBreak="0">
    <w:nsid w:val="71A3515E"/>
    <w:multiLevelType w:val="multilevel"/>
    <w:tmpl w:val="03C86D82"/>
    <w:lvl w:ilvl="0">
      <w:start w:val="1"/>
      <w:numFmt w:val="decimal"/>
      <w:lvlText w:val="%1"/>
      <w:lvlJc w:val="left"/>
      <w:pPr>
        <w:ind w:left="1392" w:hanging="1277"/>
        <w:jc w:val="left"/>
      </w:pPr>
      <w:rPr>
        <w:rFonts w:ascii="Times New Roman" w:eastAsia="Times New Roman" w:hAnsi="Times New Roman" w:cs="Times New Roman" w:hint="default"/>
        <w:w w:val="99"/>
        <w:sz w:val="24"/>
        <w:szCs w:val="24"/>
      </w:rPr>
    </w:lvl>
    <w:lvl w:ilvl="1">
      <w:start w:val="1"/>
      <w:numFmt w:val="decimal"/>
      <w:lvlText w:val="%1.%2"/>
      <w:lvlJc w:val="left"/>
      <w:pPr>
        <w:ind w:left="1392" w:hanging="1037"/>
        <w:jc w:val="left"/>
      </w:pPr>
      <w:rPr>
        <w:rFonts w:ascii="Times New Roman" w:eastAsia="Times New Roman" w:hAnsi="Times New Roman" w:cs="Times New Roman" w:hint="default"/>
        <w:i/>
        <w:w w:val="99"/>
        <w:sz w:val="24"/>
        <w:szCs w:val="24"/>
      </w:rPr>
    </w:lvl>
    <w:lvl w:ilvl="2">
      <w:numFmt w:val="bullet"/>
      <w:lvlText w:val="•"/>
      <w:lvlJc w:val="left"/>
      <w:pPr>
        <w:ind w:left="2992" w:hanging="1037"/>
      </w:pPr>
      <w:rPr>
        <w:rFonts w:hint="default"/>
      </w:rPr>
    </w:lvl>
    <w:lvl w:ilvl="3">
      <w:numFmt w:val="bullet"/>
      <w:lvlText w:val="•"/>
      <w:lvlJc w:val="left"/>
      <w:pPr>
        <w:ind w:left="3788" w:hanging="1037"/>
      </w:pPr>
      <w:rPr>
        <w:rFonts w:hint="default"/>
      </w:rPr>
    </w:lvl>
    <w:lvl w:ilvl="4">
      <w:numFmt w:val="bullet"/>
      <w:lvlText w:val="•"/>
      <w:lvlJc w:val="left"/>
      <w:pPr>
        <w:ind w:left="4584" w:hanging="1037"/>
      </w:pPr>
      <w:rPr>
        <w:rFonts w:hint="default"/>
      </w:rPr>
    </w:lvl>
    <w:lvl w:ilvl="5">
      <w:numFmt w:val="bullet"/>
      <w:lvlText w:val="•"/>
      <w:lvlJc w:val="left"/>
      <w:pPr>
        <w:ind w:left="5380" w:hanging="1037"/>
      </w:pPr>
      <w:rPr>
        <w:rFonts w:hint="default"/>
      </w:rPr>
    </w:lvl>
    <w:lvl w:ilvl="6">
      <w:numFmt w:val="bullet"/>
      <w:lvlText w:val="•"/>
      <w:lvlJc w:val="left"/>
      <w:pPr>
        <w:ind w:left="6176" w:hanging="1037"/>
      </w:pPr>
      <w:rPr>
        <w:rFonts w:hint="default"/>
      </w:rPr>
    </w:lvl>
    <w:lvl w:ilvl="7">
      <w:numFmt w:val="bullet"/>
      <w:lvlText w:val="•"/>
      <w:lvlJc w:val="left"/>
      <w:pPr>
        <w:ind w:left="6972" w:hanging="1037"/>
      </w:pPr>
      <w:rPr>
        <w:rFonts w:hint="default"/>
      </w:rPr>
    </w:lvl>
    <w:lvl w:ilvl="8">
      <w:numFmt w:val="bullet"/>
      <w:lvlText w:val="•"/>
      <w:lvlJc w:val="left"/>
      <w:pPr>
        <w:ind w:left="7768" w:hanging="1037"/>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363D7"/>
    <w:rsid w:val="007F7C70"/>
    <w:rsid w:val="00F363D7"/>
    <w:rsid w:val="00FD56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29BB2D"/>
  <w15:docId w15:val="{64A13C93-5717-4588-A879-6C6E41B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ind w:left="548" w:hanging="432"/>
      <w:outlineLvl w:val="0"/>
    </w:pPr>
    <w:rPr>
      <w:b/>
      <w:bCs/>
      <w:sz w:val="28"/>
      <w:szCs w:val="28"/>
    </w:rPr>
  </w:style>
  <w:style w:type="paragraph" w:styleId="Nadpis2">
    <w:name w:val="heading 2"/>
    <w:basedOn w:val="Normln"/>
    <w:uiPriority w:val="9"/>
    <w:unhideWhenUsed/>
    <w:qFormat/>
    <w:pPr>
      <w:ind w:left="692" w:hanging="576"/>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01"/>
      <w:ind w:left="1392" w:hanging="1276"/>
    </w:pPr>
    <w:rPr>
      <w:sz w:val="24"/>
      <w:szCs w:val="24"/>
    </w:rPr>
  </w:style>
  <w:style w:type="paragraph" w:styleId="Obsah2">
    <w:name w:val="toc 2"/>
    <w:basedOn w:val="Normln"/>
    <w:uiPriority w:val="1"/>
    <w:qFormat/>
    <w:pPr>
      <w:spacing w:before="101"/>
      <w:ind w:left="1392" w:hanging="1036"/>
    </w:pPr>
    <w:rPr>
      <w:sz w:val="24"/>
      <w:szCs w:val="24"/>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392" w:hanging="1036"/>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C7F0A136623B448D6960B6286D4562" ma:contentTypeVersion="10" ma:contentTypeDescription="Vytvoří nový dokument" ma:contentTypeScope="" ma:versionID="d7e6a0831ea7490098b2ed8bcffe7f08">
  <xsd:schema xmlns:xsd="http://www.w3.org/2001/XMLSchema" xmlns:xs="http://www.w3.org/2001/XMLSchema" xmlns:p="http://schemas.microsoft.com/office/2006/metadata/properties" xmlns:ns2="b813eb15-9901-40a5-89b9-5d60594da420" xmlns:ns3="dd716549-9a34-45ce-ab46-a81b80128f35" targetNamespace="http://schemas.microsoft.com/office/2006/metadata/properties" ma:root="true" ma:fieldsID="4c0fe47655808e4f3e21e0626dac1905" ns2:_="" ns3:_="">
    <xsd:import namespace="b813eb15-9901-40a5-89b9-5d60594da420"/>
    <xsd:import namespace="dd716549-9a34-45ce-ab46-a81b80128f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3eb15-9901-40a5-89b9-5d60594da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6549-9a34-45ce-ab46-a81b80128f3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B0004-5A13-4A77-B86D-7380027E6779}"/>
</file>

<file path=customXml/itemProps2.xml><?xml version="1.0" encoding="utf-8"?>
<ds:datastoreItem xmlns:ds="http://schemas.openxmlformats.org/officeDocument/2006/customXml" ds:itemID="{89017C22-7752-4851-80CF-2C9B5801103F}"/>
</file>

<file path=customXml/itemProps3.xml><?xml version="1.0" encoding="utf-8"?>
<ds:datastoreItem xmlns:ds="http://schemas.openxmlformats.org/officeDocument/2006/customXml" ds:itemID="{82C4D4DF-6852-4FC3-A923-6DDA11CD7C77}"/>
</file>

<file path=docProps/app.xml><?xml version="1.0" encoding="utf-8"?>
<Properties xmlns="http://schemas.openxmlformats.org/officeDocument/2006/extended-properties" xmlns:vt="http://schemas.openxmlformats.org/officeDocument/2006/docPropsVTypes">
  <Template>Normal</Template>
  <TotalTime>2</TotalTime>
  <Pages>1</Pages>
  <Words>3804</Words>
  <Characters>22449</Characters>
  <Application>Microsoft Office Word</Application>
  <DocSecurity>0</DocSecurity>
  <Lines>187</Lines>
  <Paragraphs>52</Paragraphs>
  <ScaleCrop>false</ScaleCrop>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PPLDS_P5</dc:title>
  <dc:creator>chalupal</dc:creator>
  <cp:lastModifiedBy>rhelektro5@outlook.cz</cp:lastModifiedBy>
  <cp:revision>3</cp:revision>
  <dcterms:created xsi:type="dcterms:W3CDTF">2019-11-27T05:41:00Z</dcterms:created>
  <dcterms:modified xsi:type="dcterms:W3CDTF">2019-11-27T06:31:00Z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PDFCreator 2.1.1.0</vt:lpwstr>
  </property>
  <property fmtid="{D5CDD505-2E9C-101B-9397-08002B2CF9AE}" pid="4" name="LastSaved">
    <vt:filetime>2019-11-27T00:00:00Z</vt:filetime>
  </property>
  <property fmtid="{D5CDD505-2E9C-101B-9397-08002B2CF9AE}" pid="5" name="ContentTypeId">
    <vt:lpwstr>0x0101006EC7F0A136623B448D6960B6286D4562</vt:lpwstr>
  </property>
</Properties>
</file>